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5A906" w14:textId="20B8596F" w:rsidR="00A912D5" w:rsidRPr="00164101" w:rsidRDefault="006C21F6" w:rsidP="00B7452C">
      <w:pPr>
        <w:pStyle w:val="Heading1"/>
      </w:pPr>
      <w:r>
        <w:t xml:space="preserve"> </w:t>
      </w:r>
      <w:sdt>
        <w:sdtPr>
          <w:tag w:val="goog_rdk_0"/>
          <w:id w:val="2114628371"/>
        </w:sdtPr>
        <w:sdtEndPr/>
        <w:sdtContent>
          <w:r w:rsidR="007500C8">
            <w:t xml:space="preserve">PICO-Specific </w:t>
          </w:r>
        </w:sdtContent>
      </w:sdt>
      <w:r w:rsidR="00A612C1">
        <w:t>Evidence Tables</w:t>
      </w:r>
      <w:r w:rsidR="007500C8">
        <w:t xml:space="preserve"> </w:t>
      </w:r>
      <w:r w:rsidR="00B50F3E">
        <w:t>–</w:t>
      </w:r>
      <w:r w:rsidR="00184D40">
        <w:t xml:space="preserve"> </w:t>
      </w:r>
      <w:r w:rsidR="008043B6">
        <w:t>Mpox</w:t>
      </w:r>
      <w:r w:rsidR="00B50F3E">
        <w:t xml:space="preserve"> – V2</w:t>
      </w:r>
    </w:p>
    <w:p w14:paraId="295429A5" w14:textId="194366F0" w:rsidR="005D0B57" w:rsidRPr="00D452B7" w:rsidRDefault="006D0A39" w:rsidP="53C6BD78">
      <w:pPr>
        <w:rPr>
          <w:b/>
          <w:bCs/>
          <w:i/>
          <w:iCs/>
          <w:lang w:val="en-GB"/>
        </w:rPr>
      </w:pPr>
      <w:r w:rsidRPr="53C6BD78">
        <w:rPr>
          <w:b/>
          <w:bCs/>
          <w:i/>
          <w:iCs/>
          <w:lang w:val="en-GB"/>
        </w:rPr>
        <w:t>Policy Question</w:t>
      </w:r>
      <w:r w:rsidR="00F95A49" w:rsidRPr="53C6BD78">
        <w:rPr>
          <w:b/>
          <w:bCs/>
          <w:i/>
          <w:iCs/>
          <w:lang w:val="en-GB"/>
        </w:rPr>
        <w:t xml:space="preserve">: </w:t>
      </w:r>
      <w:r w:rsidR="003F3A4E" w:rsidRPr="53C6BD78">
        <w:rPr>
          <w:rFonts w:eastAsiaTheme="minorEastAsia"/>
          <w:color w:val="000000" w:themeColor="text1"/>
        </w:rPr>
        <w:t xml:space="preserve">Should country X recommend mpox vaccines for populations </w:t>
      </w:r>
      <w:r w:rsidR="003F3A4E" w:rsidRPr="53C6BD78">
        <w:rPr>
          <w:rFonts w:eastAsiaTheme="minorEastAsia"/>
          <w:color w:val="000000" w:themeColor="text1"/>
          <w:u w:val="single"/>
        </w:rPr>
        <w:t>in the community</w:t>
      </w:r>
      <w:r w:rsidR="003F3A4E" w:rsidRPr="53C6BD78">
        <w:rPr>
          <w:rFonts w:eastAsiaTheme="minorEastAsia"/>
          <w:color w:val="000000" w:themeColor="text1"/>
        </w:rPr>
        <w:t xml:space="preserve"> at high risk* </w:t>
      </w:r>
      <w:r w:rsidR="7C1CA3C4" w:rsidRPr="53C6BD78">
        <w:rPr>
          <w:rFonts w:eastAsiaTheme="minorEastAsia"/>
          <w:color w:val="000000" w:themeColor="text1"/>
        </w:rPr>
        <w:t xml:space="preserve">of </w:t>
      </w:r>
      <w:r w:rsidR="003F3A4E" w:rsidRPr="53C6BD78">
        <w:rPr>
          <w:rFonts w:eastAsiaTheme="minorEastAsia"/>
          <w:color w:val="000000" w:themeColor="text1"/>
        </w:rPr>
        <w:t xml:space="preserve">mpox during the current outbreak?  </w:t>
      </w:r>
    </w:p>
    <w:p w14:paraId="627BF2D6" w14:textId="060C2AFB" w:rsidR="0079727D" w:rsidRPr="003F3A4E" w:rsidRDefault="006D0A39" w:rsidP="53C6BD78">
      <w:pPr>
        <w:rPr>
          <w:b/>
          <w:bCs/>
          <w:i/>
          <w:iCs/>
        </w:rPr>
      </w:pPr>
      <w:r w:rsidRPr="53C6BD78">
        <w:rPr>
          <w:b/>
          <w:bCs/>
          <w:i/>
          <w:iCs/>
        </w:rPr>
        <w:t xml:space="preserve">PICO Question: </w:t>
      </w:r>
      <w:r w:rsidR="003F3A4E" w:rsidRPr="53C6BD78">
        <w:rPr>
          <w:rFonts w:ascii="Calibri" w:eastAsia="Calibri" w:hAnsi="Calibri" w:cs="Calibri"/>
          <w:color w:val="000000" w:themeColor="text1"/>
        </w:rPr>
        <w:t>In persons at high risk of mpox in the community during an mpox outbreak, what is the evidence that mpox vaccine is safe and can reduce the incidence of infection, hospitalization, and death?</w:t>
      </w:r>
    </w:p>
    <w:p w14:paraId="598AF12A" w14:textId="74A84BFE" w:rsidR="006F371C" w:rsidRPr="00B7452C" w:rsidRDefault="006F371C" w:rsidP="00EA3BD5">
      <w:pPr>
        <w:pStyle w:val="Heading1"/>
      </w:pPr>
      <w:bookmarkStart w:id="0" w:name="_Domain_1:_Problem"/>
      <w:bookmarkStart w:id="1" w:name="_Hlk63431282"/>
      <w:bookmarkEnd w:id="0"/>
      <w:r w:rsidRPr="00B7452C">
        <w:t>Domain 1: Problem</w:t>
      </w:r>
    </w:p>
    <w:tbl>
      <w:tblPr>
        <w:tblStyle w:val="GridTable4-Accent1"/>
        <w:tblW w:w="14414" w:type="dxa"/>
        <w:tblLook w:val="0420" w:firstRow="1" w:lastRow="0" w:firstColumn="0" w:lastColumn="0" w:noHBand="0" w:noVBand="1"/>
      </w:tblPr>
      <w:tblGrid>
        <w:gridCol w:w="2061"/>
        <w:gridCol w:w="4180"/>
        <w:gridCol w:w="3994"/>
        <w:gridCol w:w="1280"/>
        <w:gridCol w:w="2899"/>
      </w:tblGrid>
      <w:tr w:rsidR="00B567F9" w:rsidRPr="00F41E79" w14:paraId="07AE208B" w14:textId="79EC9BAC" w:rsidTr="00B567F9">
        <w:trPr>
          <w:cnfStyle w:val="100000000000" w:firstRow="1" w:lastRow="0" w:firstColumn="0" w:lastColumn="0" w:oddVBand="0" w:evenVBand="0" w:oddHBand="0" w:evenHBand="0" w:firstRowFirstColumn="0" w:firstRowLastColumn="0" w:lastRowFirstColumn="0" w:lastRowLastColumn="0"/>
          <w:trHeight w:val="20"/>
        </w:trPr>
        <w:tc>
          <w:tcPr>
            <w:tcW w:w="2061" w:type="dxa"/>
            <w:hideMark/>
          </w:tcPr>
          <w:p w14:paraId="22C230DD" w14:textId="02027EE2" w:rsidR="00F95A49" w:rsidRPr="00757B7E" w:rsidRDefault="00F95A49" w:rsidP="00F95A49">
            <w:pPr>
              <w:rPr>
                <w:rFonts w:ascii="Arial" w:hAnsi="Arial" w:cs="Arial"/>
              </w:rPr>
            </w:pPr>
            <w:bookmarkStart w:id="2" w:name="Element"/>
            <w:r w:rsidRPr="00757B7E">
              <w:t>Element</w:t>
            </w:r>
            <w:bookmarkEnd w:id="2"/>
          </w:p>
        </w:tc>
        <w:tc>
          <w:tcPr>
            <w:tcW w:w="4180" w:type="dxa"/>
            <w:hideMark/>
          </w:tcPr>
          <w:p w14:paraId="0ED95AF1" w14:textId="3220F691" w:rsidR="00F95A49" w:rsidRPr="00757B7E" w:rsidRDefault="00F95A49" w:rsidP="00F95A49">
            <w:pPr>
              <w:rPr>
                <w:rFonts w:ascii="Arial" w:hAnsi="Arial" w:cs="Arial"/>
              </w:rPr>
            </w:pPr>
            <w:r>
              <w:t>Categories</w:t>
            </w:r>
            <w:r w:rsidRPr="00757B7E">
              <w:t xml:space="preserve"> of Evidence</w:t>
            </w:r>
          </w:p>
        </w:tc>
        <w:tc>
          <w:tcPr>
            <w:tcW w:w="3994" w:type="dxa"/>
            <w:vAlign w:val="center"/>
          </w:tcPr>
          <w:p w14:paraId="2DAB8F82" w14:textId="7BDA77AA" w:rsidR="00F95A49" w:rsidRDefault="00F95A49" w:rsidP="00F95A49">
            <w:r w:rsidRPr="009503FB">
              <w:rPr>
                <w:rFonts w:ascii="Calibri" w:eastAsia="Times New Roman" w:hAnsi="Calibri" w:cs="Calibri"/>
                <w:kern w:val="24"/>
              </w:rPr>
              <w:t>PICO-Specific Evidence to Collect</w:t>
            </w:r>
          </w:p>
        </w:tc>
        <w:tc>
          <w:tcPr>
            <w:tcW w:w="1280" w:type="dxa"/>
            <w:vAlign w:val="center"/>
          </w:tcPr>
          <w:p w14:paraId="04DB007E" w14:textId="072DABAC" w:rsidR="00F95A49" w:rsidRDefault="00F95A49" w:rsidP="00F95A49">
            <w:r w:rsidRPr="009503FB">
              <w:rPr>
                <w:rFonts w:ascii="Calibri" w:eastAsia="Times New Roman" w:hAnsi="Calibri" w:cs="Calibri"/>
                <w:kern w:val="24"/>
              </w:rPr>
              <w:t>Priority</w:t>
            </w:r>
          </w:p>
        </w:tc>
        <w:tc>
          <w:tcPr>
            <w:tcW w:w="2899" w:type="dxa"/>
          </w:tcPr>
          <w:p w14:paraId="051D05E1" w14:textId="7E1FA326" w:rsidR="00F95A49" w:rsidRDefault="00F95A49" w:rsidP="00F95A49">
            <w:r>
              <w:rPr>
                <w:rFonts w:ascii="Calibri" w:eastAsia="Times New Roman" w:hAnsi="Calibri" w:cs="Calibri"/>
                <w:kern w:val="24"/>
              </w:rPr>
              <w:t>Sources of Evidence</w:t>
            </w:r>
          </w:p>
        </w:tc>
      </w:tr>
      <w:tr w:rsidR="00B567F9" w:rsidRPr="00F41E79" w14:paraId="0E5C98A2" w14:textId="45774DE6" w:rsidTr="00B567F9">
        <w:trPr>
          <w:cnfStyle w:val="000000100000" w:firstRow="0" w:lastRow="0" w:firstColumn="0" w:lastColumn="0" w:oddVBand="0" w:evenVBand="0" w:oddHBand="1" w:evenHBand="0" w:firstRowFirstColumn="0" w:firstRowLastColumn="0" w:lastRowFirstColumn="0" w:lastRowLastColumn="0"/>
          <w:trHeight w:val="20"/>
        </w:trPr>
        <w:tc>
          <w:tcPr>
            <w:tcW w:w="2061" w:type="dxa"/>
            <w:hideMark/>
          </w:tcPr>
          <w:p w14:paraId="3E231FE1" w14:textId="6E9029CA" w:rsidR="00F95A49" w:rsidRPr="00637024" w:rsidRDefault="00F95A49" w:rsidP="00F95A49">
            <w:pPr>
              <w:ind w:left="432" w:hanging="432"/>
              <w:rPr>
                <w:rFonts w:ascii="Arial" w:hAnsi="Arial" w:cs="Arial"/>
                <w:sz w:val="22"/>
                <w:szCs w:val="22"/>
              </w:rPr>
            </w:pPr>
            <w:r w:rsidRPr="00637024">
              <w:rPr>
                <w:sz w:val="22"/>
                <w:szCs w:val="22"/>
              </w:rPr>
              <w:t>1.1</w:t>
            </w:r>
            <w:r w:rsidRPr="00637024">
              <w:rPr>
                <w:sz w:val="22"/>
                <w:szCs w:val="22"/>
              </w:rPr>
              <w:tab/>
              <w:t>Burden of disease</w:t>
            </w:r>
          </w:p>
        </w:tc>
        <w:tc>
          <w:tcPr>
            <w:tcW w:w="4180" w:type="dxa"/>
            <w:hideMark/>
          </w:tcPr>
          <w:p w14:paraId="567BBF3B" w14:textId="01D8F90B" w:rsidR="00F95A49" w:rsidRDefault="00BC283B" w:rsidP="00485528">
            <w:pPr>
              <w:ind w:left="288" w:hanging="288"/>
              <w:rPr>
                <w:sz w:val="22"/>
                <w:szCs w:val="22"/>
              </w:rPr>
            </w:pPr>
            <w:sdt>
              <w:sdtPr>
                <w:rPr>
                  <w:sz w:val="22"/>
                  <w:szCs w:val="22"/>
                </w:rPr>
                <w:id w:val="938572988"/>
                <w14:checkbox>
                  <w14:checked w14:val="1"/>
                  <w14:checkedState w14:val="2612" w14:font="MS Gothic"/>
                  <w14:uncheckedState w14:val="2610" w14:font="MS Gothic"/>
                </w14:checkbox>
              </w:sdtPr>
              <w:sdtEndPr/>
              <w:sdtContent>
                <w:r w:rsidR="001832EC">
                  <w:rPr>
                    <w:rFonts w:ascii="MS Gothic" w:eastAsia="MS Gothic" w:hAnsi="MS Gothic" w:hint="eastAsia"/>
                    <w:sz w:val="22"/>
                    <w:szCs w:val="22"/>
                  </w:rPr>
                  <w:t>☒</w:t>
                </w:r>
              </w:sdtContent>
            </w:sdt>
            <w:r w:rsidR="00780EA1" w:rsidRPr="00637024">
              <w:rPr>
                <w:sz w:val="22"/>
                <w:szCs w:val="22"/>
              </w:rPr>
              <w:tab/>
            </w:r>
            <w:r w:rsidR="00F95A49" w:rsidRPr="00637024">
              <w:rPr>
                <w:sz w:val="22"/>
                <w:szCs w:val="22"/>
              </w:rPr>
              <w:t>Incidence of morbidity &amp; mortality</w:t>
            </w:r>
          </w:p>
          <w:p w14:paraId="447F7CD6" w14:textId="77777777" w:rsidR="00637024" w:rsidRPr="00637024" w:rsidRDefault="00637024" w:rsidP="00485528">
            <w:pPr>
              <w:ind w:left="288" w:hanging="288"/>
              <w:rPr>
                <w:sz w:val="22"/>
                <w:szCs w:val="22"/>
              </w:rPr>
            </w:pPr>
          </w:p>
          <w:p w14:paraId="1E10A3A4" w14:textId="3EBBF631" w:rsidR="00F95A49" w:rsidRDefault="00BC283B" w:rsidP="00485528">
            <w:pPr>
              <w:ind w:left="288" w:hanging="288"/>
              <w:rPr>
                <w:sz w:val="22"/>
                <w:szCs w:val="22"/>
              </w:rPr>
            </w:pPr>
            <w:sdt>
              <w:sdtPr>
                <w:rPr>
                  <w:sz w:val="22"/>
                  <w:szCs w:val="22"/>
                </w:rPr>
                <w:id w:val="-1822035370"/>
                <w14:checkbox>
                  <w14:checked w14:val="1"/>
                  <w14:checkedState w14:val="2612" w14:font="MS Gothic"/>
                  <w14:uncheckedState w14:val="2610" w14:font="MS Gothic"/>
                </w14:checkbox>
              </w:sdtPr>
              <w:sdtEndPr/>
              <w:sdtContent>
                <w:r w:rsidR="001832EC">
                  <w:rPr>
                    <w:rFonts w:ascii="MS Gothic" w:eastAsia="MS Gothic" w:hAnsi="MS Gothic" w:hint="eastAsia"/>
                    <w:sz w:val="22"/>
                    <w:szCs w:val="22"/>
                  </w:rPr>
                  <w:t>☒</w:t>
                </w:r>
              </w:sdtContent>
            </w:sdt>
            <w:r w:rsidR="00485528" w:rsidRPr="00637024">
              <w:rPr>
                <w:sz w:val="22"/>
                <w:szCs w:val="22"/>
              </w:rPr>
              <w:tab/>
            </w:r>
            <w:r w:rsidR="00F95A49" w:rsidRPr="00637024">
              <w:rPr>
                <w:sz w:val="22"/>
                <w:szCs w:val="22"/>
              </w:rPr>
              <w:t>Age-specific morbidity and mortality</w:t>
            </w:r>
          </w:p>
          <w:p w14:paraId="54BE2AE3" w14:textId="77777777" w:rsidR="00637024" w:rsidRPr="00637024" w:rsidRDefault="00637024" w:rsidP="00485528">
            <w:pPr>
              <w:ind w:left="288" w:hanging="288"/>
              <w:rPr>
                <w:sz w:val="22"/>
                <w:szCs w:val="22"/>
              </w:rPr>
            </w:pPr>
          </w:p>
          <w:p w14:paraId="5324619E" w14:textId="18E2022B" w:rsidR="00F95A49" w:rsidRDefault="00BC283B" w:rsidP="00485528">
            <w:pPr>
              <w:ind w:left="288" w:hanging="288"/>
              <w:rPr>
                <w:sz w:val="22"/>
                <w:szCs w:val="22"/>
              </w:rPr>
            </w:pPr>
            <w:sdt>
              <w:sdtPr>
                <w:rPr>
                  <w:sz w:val="22"/>
                  <w:szCs w:val="22"/>
                </w:rPr>
                <w:id w:val="570627027"/>
                <w14:checkbox>
                  <w14:checked w14:val="1"/>
                  <w14:checkedState w14:val="2612" w14:font="MS Gothic"/>
                  <w14:uncheckedState w14:val="2610" w14:font="MS Gothic"/>
                </w14:checkbox>
              </w:sdtPr>
              <w:sdtEndPr/>
              <w:sdtContent>
                <w:r w:rsidR="001832EC">
                  <w:rPr>
                    <w:rFonts w:ascii="MS Gothic" w:eastAsia="MS Gothic" w:hAnsi="MS Gothic" w:hint="eastAsia"/>
                    <w:sz w:val="22"/>
                    <w:szCs w:val="22"/>
                  </w:rPr>
                  <w:t>☒</w:t>
                </w:r>
              </w:sdtContent>
            </w:sdt>
            <w:r w:rsidR="00485528" w:rsidRPr="00637024">
              <w:rPr>
                <w:sz w:val="22"/>
                <w:szCs w:val="22"/>
              </w:rPr>
              <w:tab/>
            </w:r>
            <w:r w:rsidR="00F95A49" w:rsidRPr="00637024">
              <w:rPr>
                <w:sz w:val="22"/>
                <w:szCs w:val="22"/>
              </w:rPr>
              <w:t>Ris</w:t>
            </w:r>
            <w:sdt>
              <w:sdtPr>
                <w:rPr>
                  <w:sz w:val="22"/>
                  <w:szCs w:val="22"/>
                </w:rPr>
                <w:tag w:val="goog_rdk_1"/>
                <w:id w:val="1041474547"/>
              </w:sdtPr>
              <w:sdtEndPr/>
              <w:sdtContent/>
            </w:sdt>
            <w:r w:rsidR="00F95A49" w:rsidRPr="00637024">
              <w:rPr>
                <w:sz w:val="22"/>
                <w:szCs w:val="22"/>
              </w:rPr>
              <w:t>k groups</w:t>
            </w:r>
          </w:p>
          <w:p w14:paraId="2B651879" w14:textId="7FB92CA7" w:rsidR="00637024" w:rsidRDefault="00637024" w:rsidP="00485528">
            <w:pPr>
              <w:ind w:left="288" w:hanging="288"/>
              <w:rPr>
                <w:sz w:val="22"/>
                <w:szCs w:val="22"/>
              </w:rPr>
            </w:pPr>
          </w:p>
          <w:p w14:paraId="7DF300FE" w14:textId="77777777" w:rsidR="003077BC" w:rsidRDefault="003077BC" w:rsidP="00485528">
            <w:pPr>
              <w:ind w:left="288" w:hanging="288"/>
              <w:rPr>
                <w:sz w:val="22"/>
                <w:szCs w:val="22"/>
              </w:rPr>
            </w:pPr>
          </w:p>
          <w:p w14:paraId="100DB88E" w14:textId="137CC18B" w:rsidR="00637024" w:rsidRDefault="00637024" w:rsidP="00485528">
            <w:pPr>
              <w:ind w:left="288" w:hanging="288"/>
              <w:rPr>
                <w:sz w:val="22"/>
                <w:szCs w:val="22"/>
              </w:rPr>
            </w:pPr>
          </w:p>
          <w:p w14:paraId="3419A460" w14:textId="4E12375D" w:rsidR="000F3ECF" w:rsidRDefault="000F3ECF" w:rsidP="00485528">
            <w:pPr>
              <w:ind w:left="288" w:hanging="288"/>
              <w:rPr>
                <w:sz w:val="22"/>
                <w:szCs w:val="22"/>
              </w:rPr>
            </w:pPr>
          </w:p>
          <w:p w14:paraId="2BE2B843" w14:textId="1EB223B1" w:rsidR="001832EC" w:rsidRDefault="00117D47" w:rsidP="00485528">
            <w:pPr>
              <w:ind w:left="288" w:hanging="288"/>
              <w:rPr>
                <w:sz w:val="22"/>
                <w:szCs w:val="22"/>
              </w:rPr>
            </w:pPr>
            <w:r>
              <w:rPr>
                <w:sz w:val="22"/>
                <w:szCs w:val="22"/>
              </w:rPr>
              <w:br/>
            </w:r>
            <w:r>
              <w:rPr>
                <w:sz w:val="22"/>
                <w:szCs w:val="22"/>
              </w:rPr>
              <w:br/>
            </w:r>
            <w:r>
              <w:rPr>
                <w:sz w:val="22"/>
                <w:szCs w:val="22"/>
              </w:rPr>
              <w:br/>
            </w:r>
          </w:p>
          <w:p w14:paraId="7FD82A67" w14:textId="77777777" w:rsidR="001832EC" w:rsidRDefault="001832EC" w:rsidP="00485528">
            <w:pPr>
              <w:ind w:left="288" w:hanging="288"/>
              <w:rPr>
                <w:sz w:val="22"/>
                <w:szCs w:val="22"/>
              </w:rPr>
            </w:pPr>
          </w:p>
          <w:p w14:paraId="61185332" w14:textId="77777777" w:rsidR="000F3ECF" w:rsidRPr="00637024" w:rsidRDefault="000F3ECF" w:rsidP="00485528">
            <w:pPr>
              <w:ind w:left="288" w:hanging="288"/>
              <w:rPr>
                <w:sz w:val="22"/>
                <w:szCs w:val="22"/>
              </w:rPr>
            </w:pPr>
          </w:p>
          <w:p w14:paraId="3D79AF9F" w14:textId="360E9CEA" w:rsidR="00F95A49" w:rsidRPr="00637024" w:rsidRDefault="00BC283B" w:rsidP="00485528">
            <w:pPr>
              <w:ind w:left="288" w:hanging="288"/>
              <w:rPr>
                <w:sz w:val="22"/>
                <w:szCs w:val="22"/>
              </w:rPr>
            </w:pPr>
            <w:sdt>
              <w:sdtPr>
                <w:rPr>
                  <w:sz w:val="22"/>
                  <w:szCs w:val="22"/>
                </w:rPr>
                <w:id w:val="-1482679689"/>
                <w14:checkbox>
                  <w14:checked w14:val="1"/>
                  <w14:checkedState w14:val="2612" w14:font="MS Gothic"/>
                  <w14:uncheckedState w14:val="2610" w14:font="MS Gothic"/>
                </w14:checkbox>
              </w:sdtPr>
              <w:sdtEndPr/>
              <w:sdtContent>
                <w:r w:rsidR="001832EC">
                  <w:rPr>
                    <w:rFonts w:ascii="MS Gothic" w:eastAsia="MS Gothic" w:hAnsi="MS Gothic" w:hint="eastAsia"/>
                    <w:sz w:val="22"/>
                    <w:szCs w:val="22"/>
                  </w:rPr>
                  <w:t>☒</w:t>
                </w:r>
              </w:sdtContent>
            </w:sdt>
            <w:r w:rsidR="00485528" w:rsidRPr="00637024">
              <w:rPr>
                <w:sz w:val="22"/>
                <w:szCs w:val="22"/>
              </w:rPr>
              <w:tab/>
            </w:r>
            <w:r w:rsidR="00F95A49" w:rsidRPr="00637024">
              <w:rPr>
                <w:sz w:val="22"/>
                <w:szCs w:val="22"/>
              </w:rPr>
              <w:t>Serotype distribution</w:t>
            </w:r>
          </w:p>
          <w:p w14:paraId="3420FA2D" w14:textId="06DE20C8" w:rsidR="00F95A49" w:rsidRPr="00637024" w:rsidRDefault="00BC283B" w:rsidP="00485528">
            <w:pPr>
              <w:ind w:left="288" w:hanging="288"/>
              <w:rPr>
                <w:sz w:val="22"/>
                <w:szCs w:val="22"/>
              </w:rPr>
            </w:pPr>
            <w:sdt>
              <w:sdtPr>
                <w:rPr>
                  <w:sz w:val="22"/>
                  <w:szCs w:val="22"/>
                </w:rPr>
                <w:id w:val="-685985231"/>
                <w14:checkbox>
                  <w14:checked w14:val="1"/>
                  <w14:checkedState w14:val="2612" w14:font="MS Gothic"/>
                  <w14:uncheckedState w14:val="2610" w14:font="MS Gothic"/>
                </w14:checkbox>
              </w:sdtPr>
              <w:sdtEndPr/>
              <w:sdtContent>
                <w:r w:rsidR="001832EC">
                  <w:rPr>
                    <w:rFonts w:ascii="MS Gothic" w:eastAsia="MS Gothic" w:hAnsi="MS Gothic" w:hint="eastAsia"/>
                    <w:sz w:val="22"/>
                    <w:szCs w:val="22"/>
                  </w:rPr>
                  <w:t>☒</w:t>
                </w:r>
              </w:sdtContent>
            </w:sdt>
            <w:r w:rsidR="00485528" w:rsidRPr="00637024">
              <w:rPr>
                <w:sz w:val="22"/>
                <w:szCs w:val="22"/>
              </w:rPr>
              <w:tab/>
            </w:r>
            <w:r w:rsidR="00F95A49" w:rsidRPr="00637024">
              <w:rPr>
                <w:sz w:val="22"/>
                <w:szCs w:val="22"/>
              </w:rPr>
              <w:t>Disease occurrence over time</w:t>
            </w:r>
          </w:p>
          <w:p w14:paraId="648ADB18" w14:textId="591E97DA" w:rsidR="00F95A49" w:rsidRPr="00637024" w:rsidRDefault="00BC283B" w:rsidP="00485528">
            <w:pPr>
              <w:ind w:left="288" w:hanging="288"/>
              <w:rPr>
                <w:sz w:val="22"/>
                <w:szCs w:val="22"/>
              </w:rPr>
            </w:pPr>
            <w:sdt>
              <w:sdtPr>
                <w:rPr>
                  <w:sz w:val="22"/>
                  <w:szCs w:val="22"/>
                </w:rPr>
                <w:id w:val="1499691078"/>
                <w14:checkbox>
                  <w14:checked w14:val="1"/>
                  <w14:checkedState w14:val="2612" w14:font="MS Gothic"/>
                  <w14:uncheckedState w14:val="2610" w14:font="MS Gothic"/>
                </w14:checkbox>
              </w:sdtPr>
              <w:sdtEndPr/>
              <w:sdtContent>
                <w:r w:rsidR="001832EC">
                  <w:rPr>
                    <w:rFonts w:ascii="MS Gothic" w:eastAsia="MS Gothic" w:hAnsi="MS Gothic" w:hint="eastAsia"/>
                    <w:sz w:val="22"/>
                    <w:szCs w:val="22"/>
                  </w:rPr>
                  <w:t>☒</w:t>
                </w:r>
              </w:sdtContent>
            </w:sdt>
            <w:r w:rsidR="00485528" w:rsidRPr="00637024">
              <w:rPr>
                <w:sz w:val="22"/>
                <w:szCs w:val="22"/>
              </w:rPr>
              <w:tab/>
            </w:r>
            <w:r w:rsidR="00F95A49" w:rsidRPr="00637024">
              <w:rPr>
                <w:sz w:val="22"/>
                <w:szCs w:val="22"/>
              </w:rPr>
              <w:t>Changes in epidemiology over time</w:t>
            </w:r>
          </w:p>
        </w:tc>
        <w:tc>
          <w:tcPr>
            <w:tcW w:w="3994" w:type="dxa"/>
          </w:tcPr>
          <w:p w14:paraId="74D4B951" w14:textId="77777777" w:rsidR="00F95A49" w:rsidRPr="00637024" w:rsidRDefault="00637024" w:rsidP="00637024">
            <w:pPr>
              <w:rPr>
                <w:sz w:val="22"/>
                <w:szCs w:val="22"/>
              </w:rPr>
            </w:pPr>
            <w:r w:rsidRPr="00637024">
              <w:rPr>
                <w:sz w:val="22"/>
                <w:szCs w:val="22"/>
              </w:rPr>
              <w:t xml:space="preserve">Incidence, hospitalizations and deaths due to mpox before and during outbreak </w:t>
            </w:r>
          </w:p>
          <w:p w14:paraId="4D568727" w14:textId="77777777" w:rsidR="00637024" w:rsidRPr="00637024" w:rsidRDefault="00637024" w:rsidP="00637024">
            <w:pPr>
              <w:rPr>
                <w:sz w:val="22"/>
                <w:szCs w:val="22"/>
              </w:rPr>
            </w:pPr>
            <w:r w:rsidRPr="00637024">
              <w:rPr>
                <w:sz w:val="22"/>
                <w:szCs w:val="22"/>
              </w:rPr>
              <w:t>Age specific incidence, hospitalizations, mortality</w:t>
            </w:r>
          </w:p>
          <w:p w14:paraId="51C3B520" w14:textId="2DC32A42" w:rsidR="00637024" w:rsidRDefault="00637024" w:rsidP="00637024">
            <w:pPr>
              <w:rPr>
                <w:sz w:val="22"/>
                <w:szCs w:val="22"/>
              </w:rPr>
            </w:pPr>
            <w:r w:rsidRPr="00990A95">
              <w:rPr>
                <w:sz w:val="22"/>
                <w:szCs w:val="22"/>
                <w:u w:val="single"/>
              </w:rPr>
              <w:t xml:space="preserve">Risk groups </w:t>
            </w:r>
            <w:r w:rsidR="001832EC" w:rsidRPr="00990A95">
              <w:rPr>
                <w:sz w:val="22"/>
                <w:szCs w:val="22"/>
                <w:u w:val="single"/>
              </w:rPr>
              <w:t>(s</w:t>
            </w:r>
            <w:r w:rsidR="00990A95" w:rsidRPr="00990A95">
              <w:rPr>
                <w:sz w:val="22"/>
                <w:szCs w:val="22"/>
                <w:u w:val="single"/>
              </w:rPr>
              <w:t>e</w:t>
            </w:r>
            <w:r w:rsidR="001832EC" w:rsidRPr="00990A95">
              <w:rPr>
                <w:sz w:val="22"/>
                <w:szCs w:val="22"/>
                <w:u w:val="single"/>
              </w:rPr>
              <w:t>vere disease)</w:t>
            </w:r>
            <w:r w:rsidR="001832EC">
              <w:rPr>
                <w:sz w:val="22"/>
                <w:szCs w:val="22"/>
              </w:rPr>
              <w:t xml:space="preserve"> </w:t>
            </w:r>
            <w:r w:rsidRPr="00637024">
              <w:rPr>
                <w:sz w:val="22"/>
                <w:szCs w:val="22"/>
              </w:rPr>
              <w:t xml:space="preserve">– immunocompromised, pregnant </w:t>
            </w:r>
            <w:r w:rsidR="000F3ECF">
              <w:rPr>
                <w:sz w:val="22"/>
                <w:szCs w:val="22"/>
              </w:rPr>
              <w:t xml:space="preserve">and breast-feeding </w:t>
            </w:r>
            <w:r w:rsidRPr="00637024">
              <w:rPr>
                <w:sz w:val="22"/>
                <w:szCs w:val="22"/>
              </w:rPr>
              <w:t>women, young children</w:t>
            </w:r>
          </w:p>
          <w:p w14:paraId="3A170ED9" w14:textId="4467DE1D" w:rsidR="00637024" w:rsidRDefault="001832EC" w:rsidP="00637024">
            <w:pPr>
              <w:rPr>
                <w:sz w:val="22"/>
                <w:szCs w:val="22"/>
              </w:rPr>
            </w:pPr>
            <w:r w:rsidRPr="00990A95">
              <w:rPr>
                <w:sz w:val="22"/>
                <w:szCs w:val="22"/>
                <w:u w:val="single"/>
              </w:rPr>
              <w:t>Persons at risk during outbreaks</w:t>
            </w:r>
            <w:r>
              <w:rPr>
                <w:sz w:val="22"/>
                <w:szCs w:val="22"/>
              </w:rPr>
              <w:t xml:space="preserve"> </w:t>
            </w:r>
            <w:r w:rsidR="003077BC">
              <w:rPr>
                <w:sz w:val="22"/>
                <w:szCs w:val="22"/>
              </w:rPr>
              <w:t xml:space="preserve">– </w:t>
            </w:r>
            <w:r>
              <w:rPr>
                <w:sz w:val="22"/>
                <w:szCs w:val="22"/>
              </w:rPr>
              <w:t xml:space="preserve">laboratory staff and clinical persons treating disease, </w:t>
            </w:r>
            <w:r w:rsidR="00117D47">
              <w:rPr>
                <w:sz w:val="22"/>
                <w:szCs w:val="22"/>
              </w:rPr>
              <w:t xml:space="preserve">key populations (commercial sex workers MSM, </w:t>
            </w:r>
            <w:r>
              <w:rPr>
                <w:sz w:val="22"/>
                <w:szCs w:val="22"/>
              </w:rPr>
              <w:t xml:space="preserve">persons with </w:t>
            </w:r>
            <w:r w:rsidR="000F3ECF">
              <w:rPr>
                <w:sz w:val="22"/>
                <w:szCs w:val="22"/>
              </w:rPr>
              <w:t>multiple casual sex partners,</w:t>
            </w:r>
            <w:r w:rsidR="00117D47">
              <w:rPr>
                <w:sz w:val="22"/>
                <w:szCs w:val="22"/>
              </w:rPr>
              <w:t xml:space="preserve"> transgender), </w:t>
            </w:r>
            <w:r w:rsidR="000F3ECF">
              <w:rPr>
                <w:sz w:val="22"/>
                <w:szCs w:val="22"/>
              </w:rPr>
              <w:t>outbreak response team</w:t>
            </w:r>
            <w:r w:rsidR="00117D47">
              <w:rPr>
                <w:sz w:val="22"/>
                <w:szCs w:val="22"/>
              </w:rPr>
              <w:t xml:space="preserve"> and frontline workers</w:t>
            </w:r>
            <w:r w:rsidR="000F3ECF">
              <w:rPr>
                <w:sz w:val="22"/>
                <w:szCs w:val="22"/>
              </w:rPr>
              <w:t xml:space="preserve">, </w:t>
            </w:r>
            <w:r w:rsidR="003077BC">
              <w:rPr>
                <w:sz w:val="22"/>
                <w:szCs w:val="22"/>
              </w:rPr>
              <w:t>congregate settings (prisons, etc)</w:t>
            </w:r>
            <w:r w:rsidR="000F3ECF">
              <w:rPr>
                <w:sz w:val="22"/>
                <w:szCs w:val="22"/>
              </w:rPr>
              <w:t>, etc</w:t>
            </w:r>
          </w:p>
          <w:p w14:paraId="6B1A3FDA" w14:textId="059E58ED" w:rsidR="00117D47" w:rsidRDefault="00117D47" w:rsidP="00117D47">
            <w:pPr>
              <w:rPr>
                <w:sz w:val="22"/>
                <w:szCs w:val="22"/>
              </w:rPr>
            </w:pPr>
            <w:r>
              <w:rPr>
                <w:sz w:val="22"/>
                <w:szCs w:val="22"/>
              </w:rPr>
              <w:t xml:space="preserve">Mpox virus clade, genomic sequences </w:t>
            </w:r>
          </w:p>
          <w:p w14:paraId="76DAEF8B" w14:textId="26357019" w:rsidR="00637024" w:rsidRPr="00637024" w:rsidRDefault="00637024" w:rsidP="00117D47">
            <w:pPr>
              <w:rPr>
                <w:sz w:val="22"/>
                <w:szCs w:val="22"/>
              </w:rPr>
            </w:pPr>
            <w:r>
              <w:rPr>
                <w:sz w:val="22"/>
                <w:szCs w:val="22"/>
              </w:rPr>
              <w:t>Incidence prior to outbreak and time course during outbreak</w:t>
            </w:r>
          </w:p>
        </w:tc>
        <w:tc>
          <w:tcPr>
            <w:tcW w:w="1280" w:type="dxa"/>
          </w:tcPr>
          <w:p w14:paraId="23617847" w14:textId="4859DCA6" w:rsidR="002074E8" w:rsidRPr="00637024" w:rsidRDefault="002074E8" w:rsidP="00E15A3E">
            <w:pPr>
              <w:ind w:right="284"/>
              <w:rPr>
                <w:sz w:val="22"/>
                <w:szCs w:val="22"/>
              </w:rPr>
            </w:pPr>
            <w:r>
              <w:rPr>
                <w:sz w:val="22"/>
                <w:szCs w:val="22"/>
              </w:rPr>
              <w:t>Critical</w:t>
            </w:r>
            <w:r>
              <w:rPr>
                <w:sz w:val="22"/>
                <w:szCs w:val="22"/>
              </w:rPr>
              <w:br/>
            </w:r>
            <w:r>
              <w:rPr>
                <w:sz w:val="22"/>
                <w:szCs w:val="22"/>
              </w:rPr>
              <w:br/>
            </w:r>
          </w:p>
        </w:tc>
        <w:tc>
          <w:tcPr>
            <w:tcW w:w="2899" w:type="dxa"/>
          </w:tcPr>
          <w:p w14:paraId="0F73646F" w14:textId="77777777" w:rsidR="00F95A49" w:rsidRDefault="0001587D" w:rsidP="00F95A49">
            <w:pPr>
              <w:rPr>
                <w:sz w:val="22"/>
                <w:szCs w:val="22"/>
              </w:rPr>
            </w:pPr>
            <w:r w:rsidRPr="53C6BD78">
              <w:rPr>
                <w:sz w:val="22"/>
                <w:szCs w:val="22"/>
              </w:rPr>
              <w:t>Surveillance (country), AFR CDC, WHO AFRO</w:t>
            </w:r>
          </w:p>
          <w:p w14:paraId="58C6DF9A" w14:textId="72C8E753" w:rsidR="60FDDF9D" w:rsidRDefault="60FDDF9D" w:rsidP="53C6BD78">
            <w:pPr>
              <w:rPr>
                <w:sz w:val="22"/>
                <w:szCs w:val="22"/>
              </w:rPr>
            </w:pPr>
            <w:r w:rsidRPr="53C6BD78">
              <w:rPr>
                <w:sz w:val="22"/>
                <w:szCs w:val="22"/>
              </w:rPr>
              <w:t>Rapid review (NISH/UCT)</w:t>
            </w:r>
          </w:p>
          <w:p w14:paraId="13E96AB9" w14:textId="77777777" w:rsidR="00990A95" w:rsidRDefault="00990A95" w:rsidP="00F95A49">
            <w:pPr>
              <w:rPr>
                <w:sz w:val="22"/>
                <w:szCs w:val="22"/>
              </w:rPr>
            </w:pPr>
          </w:p>
          <w:p w14:paraId="076D4F1D" w14:textId="77777777" w:rsidR="00990A95" w:rsidRDefault="00990A95" w:rsidP="00F95A49">
            <w:pPr>
              <w:rPr>
                <w:sz w:val="22"/>
                <w:szCs w:val="22"/>
              </w:rPr>
            </w:pPr>
          </w:p>
          <w:p w14:paraId="704EAB3E" w14:textId="77777777" w:rsidR="00990A95" w:rsidRDefault="00990A95" w:rsidP="00F95A49">
            <w:pPr>
              <w:rPr>
                <w:sz w:val="22"/>
                <w:szCs w:val="22"/>
              </w:rPr>
            </w:pPr>
          </w:p>
          <w:p w14:paraId="4EF9289F" w14:textId="77777777" w:rsidR="00990A95" w:rsidRDefault="00990A95" w:rsidP="00F95A49">
            <w:pPr>
              <w:rPr>
                <w:sz w:val="22"/>
                <w:szCs w:val="22"/>
              </w:rPr>
            </w:pPr>
          </w:p>
          <w:p w14:paraId="0CF43D23" w14:textId="0D4F6FD4" w:rsidR="00990A95" w:rsidRPr="00637024" w:rsidRDefault="00990A95" w:rsidP="00F95A49">
            <w:pPr>
              <w:rPr>
                <w:sz w:val="22"/>
                <w:szCs w:val="22"/>
              </w:rPr>
            </w:pPr>
            <w:r>
              <w:rPr>
                <w:sz w:val="22"/>
                <w:szCs w:val="22"/>
              </w:rPr>
              <w:t>Persons at risk during outbreaks to be defined by country MOH/govt</w:t>
            </w:r>
          </w:p>
        </w:tc>
      </w:tr>
      <w:tr w:rsidR="00B567F9" w:rsidRPr="00F41E79" w14:paraId="25F980D6" w14:textId="10DA0D42" w:rsidTr="00B567F9">
        <w:trPr>
          <w:trHeight w:val="20"/>
        </w:trPr>
        <w:tc>
          <w:tcPr>
            <w:tcW w:w="2061" w:type="dxa"/>
            <w:hideMark/>
          </w:tcPr>
          <w:p w14:paraId="11582EE2" w14:textId="36026E15" w:rsidR="00F95A49" w:rsidRPr="00637024" w:rsidRDefault="00F95A49" w:rsidP="00F95A49">
            <w:pPr>
              <w:ind w:left="432" w:hanging="432"/>
              <w:rPr>
                <w:rFonts w:ascii="Arial" w:hAnsi="Arial" w:cs="Arial"/>
                <w:sz w:val="22"/>
                <w:szCs w:val="22"/>
              </w:rPr>
            </w:pPr>
            <w:r w:rsidRPr="00637024">
              <w:rPr>
                <w:sz w:val="22"/>
                <w:szCs w:val="22"/>
              </w:rPr>
              <w:t>1.2</w:t>
            </w:r>
            <w:r w:rsidRPr="00637024">
              <w:rPr>
                <w:sz w:val="22"/>
                <w:szCs w:val="22"/>
              </w:rPr>
              <w:tab/>
              <w:t>Clinical characteristics of the disease</w:t>
            </w:r>
          </w:p>
        </w:tc>
        <w:tc>
          <w:tcPr>
            <w:tcW w:w="4180" w:type="dxa"/>
            <w:hideMark/>
          </w:tcPr>
          <w:p w14:paraId="0C5B8397" w14:textId="34833BED" w:rsidR="00F95A49" w:rsidRPr="00637024" w:rsidRDefault="00BC283B" w:rsidP="00485528">
            <w:pPr>
              <w:ind w:left="288" w:hanging="288"/>
              <w:rPr>
                <w:sz w:val="22"/>
                <w:szCs w:val="22"/>
              </w:rPr>
            </w:pPr>
            <w:sdt>
              <w:sdtPr>
                <w:rPr>
                  <w:sz w:val="22"/>
                  <w:szCs w:val="22"/>
                </w:rPr>
                <w:id w:val="-626936941"/>
                <w14:checkbox>
                  <w14:checked w14:val="1"/>
                  <w14:checkedState w14:val="2612" w14:font="MS Gothic"/>
                  <w14:uncheckedState w14:val="2610" w14:font="MS Gothic"/>
                </w14:checkbox>
              </w:sdtPr>
              <w:sdtEndPr/>
              <w:sdtContent>
                <w:r w:rsidR="001832EC">
                  <w:rPr>
                    <w:rFonts w:ascii="MS Gothic" w:eastAsia="MS Gothic" w:hAnsi="MS Gothic" w:hint="eastAsia"/>
                    <w:sz w:val="22"/>
                    <w:szCs w:val="22"/>
                  </w:rPr>
                  <w:t>☒</w:t>
                </w:r>
              </w:sdtContent>
            </w:sdt>
            <w:r w:rsidR="00485528" w:rsidRPr="00637024">
              <w:rPr>
                <w:sz w:val="22"/>
                <w:szCs w:val="22"/>
              </w:rPr>
              <w:tab/>
            </w:r>
            <w:r w:rsidR="00F95A49" w:rsidRPr="00637024">
              <w:rPr>
                <w:sz w:val="22"/>
                <w:szCs w:val="22"/>
              </w:rPr>
              <w:t>Signs and symptoms of disease</w:t>
            </w:r>
            <w:r w:rsidR="003077BC">
              <w:rPr>
                <w:sz w:val="22"/>
                <w:szCs w:val="22"/>
              </w:rPr>
              <w:br/>
            </w:r>
          </w:p>
          <w:p w14:paraId="62A4D315" w14:textId="4F2704D3" w:rsidR="00F95A49" w:rsidRDefault="00BC283B" w:rsidP="00485528">
            <w:pPr>
              <w:ind w:left="288" w:hanging="288"/>
              <w:rPr>
                <w:sz w:val="22"/>
                <w:szCs w:val="22"/>
              </w:rPr>
            </w:pPr>
            <w:sdt>
              <w:sdtPr>
                <w:rPr>
                  <w:sz w:val="22"/>
                  <w:szCs w:val="22"/>
                </w:rPr>
                <w:id w:val="-768080436"/>
                <w14:checkbox>
                  <w14:checked w14:val="1"/>
                  <w14:checkedState w14:val="2612" w14:font="MS Gothic"/>
                  <w14:uncheckedState w14:val="2610" w14:font="MS Gothic"/>
                </w14:checkbox>
              </w:sdtPr>
              <w:sdtEndPr/>
              <w:sdtContent>
                <w:r w:rsidR="001832EC">
                  <w:rPr>
                    <w:rFonts w:ascii="MS Gothic" w:eastAsia="MS Gothic" w:hAnsi="MS Gothic" w:hint="eastAsia"/>
                    <w:sz w:val="22"/>
                    <w:szCs w:val="22"/>
                  </w:rPr>
                  <w:t>☒</w:t>
                </w:r>
              </w:sdtContent>
            </w:sdt>
            <w:r w:rsidR="00485528" w:rsidRPr="00637024">
              <w:rPr>
                <w:sz w:val="22"/>
                <w:szCs w:val="22"/>
              </w:rPr>
              <w:tab/>
            </w:r>
            <w:r w:rsidR="00F95A49" w:rsidRPr="00637024">
              <w:rPr>
                <w:sz w:val="22"/>
                <w:szCs w:val="22"/>
              </w:rPr>
              <w:t>Severe forms</w:t>
            </w:r>
          </w:p>
          <w:p w14:paraId="26F103A5" w14:textId="691B173E" w:rsidR="00B567F9" w:rsidRDefault="00B567F9" w:rsidP="00485528">
            <w:pPr>
              <w:ind w:left="288" w:hanging="288"/>
              <w:rPr>
                <w:sz w:val="22"/>
                <w:szCs w:val="22"/>
              </w:rPr>
            </w:pPr>
          </w:p>
          <w:p w14:paraId="4F578BF3" w14:textId="3C58043D" w:rsidR="00B567F9" w:rsidRDefault="00B567F9" w:rsidP="00485528">
            <w:pPr>
              <w:ind w:left="288" w:hanging="288"/>
              <w:rPr>
                <w:sz w:val="22"/>
                <w:szCs w:val="22"/>
              </w:rPr>
            </w:pPr>
          </w:p>
          <w:p w14:paraId="60504001" w14:textId="6068DFD9" w:rsidR="00F95A49" w:rsidRDefault="00BC283B" w:rsidP="00485528">
            <w:pPr>
              <w:ind w:left="288" w:hanging="288"/>
              <w:rPr>
                <w:sz w:val="22"/>
                <w:szCs w:val="22"/>
              </w:rPr>
            </w:pPr>
            <w:sdt>
              <w:sdtPr>
                <w:rPr>
                  <w:sz w:val="22"/>
                  <w:szCs w:val="22"/>
                </w:rPr>
                <w:id w:val="-435525786"/>
                <w14:checkbox>
                  <w14:checked w14:val="1"/>
                  <w14:checkedState w14:val="2612" w14:font="MS Gothic"/>
                  <w14:uncheckedState w14:val="2610" w14:font="MS Gothic"/>
                </w14:checkbox>
              </w:sdtPr>
              <w:sdtEndPr/>
              <w:sdtContent>
                <w:r w:rsidR="001832EC">
                  <w:rPr>
                    <w:rFonts w:ascii="MS Gothic" w:eastAsia="MS Gothic" w:hAnsi="MS Gothic" w:hint="eastAsia"/>
                    <w:sz w:val="22"/>
                    <w:szCs w:val="22"/>
                  </w:rPr>
                  <w:t>☒</w:t>
                </w:r>
              </w:sdtContent>
            </w:sdt>
            <w:r w:rsidR="00485528" w:rsidRPr="00637024">
              <w:rPr>
                <w:sz w:val="22"/>
                <w:szCs w:val="22"/>
              </w:rPr>
              <w:tab/>
            </w:r>
            <w:r w:rsidR="00F95A49" w:rsidRPr="00637024">
              <w:rPr>
                <w:sz w:val="22"/>
                <w:szCs w:val="22"/>
              </w:rPr>
              <w:t>Long-term complications of disease</w:t>
            </w:r>
            <w:r w:rsidR="00B567F9">
              <w:rPr>
                <w:sz w:val="22"/>
                <w:szCs w:val="22"/>
              </w:rPr>
              <w:br/>
            </w:r>
          </w:p>
          <w:p w14:paraId="46E9B29E" w14:textId="77777777" w:rsidR="00B567F9" w:rsidRPr="00637024" w:rsidRDefault="00B567F9" w:rsidP="00485528">
            <w:pPr>
              <w:ind w:left="288" w:hanging="288"/>
              <w:rPr>
                <w:sz w:val="22"/>
                <w:szCs w:val="22"/>
              </w:rPr>
            </w:pPr>
          </w:p>
          <w:p w14:paraId="7F0B5822" w14:textId="117416DB" w:rsidR="00F95A49" w:rsidRPr="00637024" w:rsidRDefault="00BC283B" w:rsidP="00485528">
            <w:pPr>
              <w:ind w:left="288" w:hanging="288"/>
              <w:rPr>
                <w:sz w:val="22"/>
                <w:szCs w:val="22"/>
              </w:rPr>
            </w:pPr>
            <w:sdt>
              <w:sdtPr>
                <w:rPr>
                  <w:sz w:val="22"/>
                  <w:szCs w:val="22"/>
                </w:rPr>
                <w:id w:val="699130720"/>
                <w14:checkbox>
                  <w14:checked w14:val="1"/>
                  <w14:checkedState w14:val="2612" w14:font="MS Gothic"/>
                  <w14:uncheckedState w14:val="2610" w14:font="MS Gothic"/>
                </w14:checkbox>
              </w:sdtPr>
              <w:sdtEndPr/>
              <w:sdtContent>
                <w:r w:rsidR="001832EC">
                  <w:rPr>
                    <w:rFonts w:ascii="MS Gothic" w:eastAsia="MS Gothic" w:hAnsi="MS Gothic" w:hint="eastAsia"/>
                    <w:sz w:val="22"/>
                    <w:szCs w:val="22"/>
                  </w:rPr>
                  <w:t>☒</w:t>
                </w:r>
              </w:sdtContent>
            </w:sdt>
            <w:r w:rsidR="00485528" w:rsidRPr="00637024">
              <w:rPr>
                <w:sz w:val="22"/>
                <w:szCs w:val="22"/>
              </w:rPr>
              <w:tab/>
            </w:r>
            <w:r w:rsidR="00F95A49" w:rsidRPr="00637024">
              <w:rPr>
                <w:sz w:val="22"/>
                <w:szCs w:val="22"/>
              </w:rPr>
              <w:t>Medical management of disease</w:t>
            </w:r>
          </w:p>
        </w:tc>
        <w:tc>
          <w:tcPr>
            <w:tcW w:w="3994" w:type="dxa"/>
          </w:tcPr>
          <w:p w14:paraId="383EB47F" w14:textId="79A0F704" w:rsidR="00F95A49" w:rsidRDefault="00637024" w:rsidP="003077BC">
            <w:pPr>
              <w:rPr>
                <w:sz w:val="22"/>
                <w:szCs w:val="22"/>
              </w:rPr>
            </w:pPr>
            <w:r>
              <w:rPr>
                <w:sz w:val="22"/>
                <w:szCs w:val="22"/>
              </w:rPr>
              <w:t>Skin rash</w:t>
            </w:r>
            <w:r w:rsidR="003077BC">
              <w:rPr>
                <w:sz w:val="22"/>
                <w:szCs w:val="22"/>
              </w:rPr>
              <w:t xml:space="preserve"> (systemic, genital)</w:t>
            </w:r>
            <w:r>
              <w:rPr>
                <w:sz w:val="22"/>
                <w:szCs w:val="22"/>
              </w:rPr>
              <w:t xml:space="preserve">, </w:t>
            </w:r>
            <w:r w:rsidR="003077BC">
              <w:rPr>
                <w:sz w:val="22"/>
                <w:szCs w:val="22"/>
              </w:rPr>
              <w:t>fever, lymphadenopathy, headaches, etc</w:t>
            </w:r>
          </w:p>
          <w:p w14:paraId="776EFDB7" w14:textId="79B11056" w:rsidR="003077BC" w:rsidRDefault="003077BC" w:rsidP="003077BC">
            <w:pPr>
              <w:rPr>
                <w:sz w:val="22"/>
                <w:szCs w:val="22"/>
              </w:rPr>
            </w:pPr>
            <w:r>
              <w:rPr>
                <w:sz w:val="22"/>
                <w:szCs w:val="22"/>
              </w:rPr>
              <w:t xml:space="preserve">Severe systemic rash, </w:t>
            </w:r>
            <w:r w:rsidR="00B567F9">
              <w:rPr>
                <w:sz w:val="22"/>
                <w:szCs w:val="22"/>
              </w:rPr>
              <w:t xml:space="preserve">secondary sin lesions, encephalitis, hepatitis, pneumonitis, </w:t>
            </w:r>
            <w:r>
              <w:rPr>
                <w:sz w:val="22"/>
                <w:szCs w:val="22"/>
              </w:rPr>
              <w:t>hospitalization, death</w:t>
            </w:r>
          </w:p>
          <w:p w14:paraId="24F43FDE" w14:textId="20E4FE95" w:rsidR="003077BC" w:rsidRDefault="003077BC" w:rsidP="003077BC">
            <w:pPr>
              <w:rPr>
                <w:sz w:val="22"/>
                <w:szCs w:val="22"/>
              </w:rPr>
            </w:pPr>
            <w:r>
              <w:rPr>
                <w:sz w:val="22"/>
                <w:szCs w:val="22"/>
              </w:rPr>
              <w:t>? scarring</w:t>
            </w:r>
            <w:r w:rsidR="00423C20">
              <w:rPr>
                <w:sz w:val="22"/>
                <w:szCs w:val="22"/>
              </w:rPr>
              <w:t>,</w:t>
            </w:r>
            <w:r w:rsidR="00B567F9">
              <w:rPr>
                <w:sz w:val="22"/>
                <w:szCs w:val="22"/>
              </w:rPr>
              <w:t xml:space="preserve"> corneal and facial scarring </w:t>
            </w:r>
            <w:r w:rsidR="00423C20">
              <w:rPr>
                <w:sz w:val="22"/>
                <w:szCs w:val="22"/>
              </w:rPr>
              <w:t xml:space="preserve"> impaired vision/blindness, sexual impairment</w:t>
            </w:r>
            <w:r>
              <w:rPr>
                <w:sz w:val="22"/>
                <w:szCs w:val="22"/>
              </w:rPr>
              <w:t xml:space="preserve"> </w:t>
            </w:r>
          </w:p>
          <w:p w14:paraId="41846CE0" w14:textId="1BABEDB3" w:rsidR="003077BC" w:rsidRPr="00637024" w:rsidRDefault="003077BC" w:rsidP="003077BC">
            <w:pPr>
              <w:rPr>
                <w:sz w:val="22"/>
                <w:szCs w:val="22"/>
              </w:rPr>
            </w:pPr>
            <w:r>
              <w:rPr>
                <w:sz w:val="22"/>
                <w:szCs w:val="22"/>
              </w:rPr>
              <w:t>Prevention secondary infection, ? other</w:t>
            </w:r>
            <w:r w:rsidR="00B567F9">
              <w:rPr>
                <w:sz w:val="22"/>
                <w:szCs w:val="22"/>
              </w:rPr>
              <w:t xml:space="preserve">; ? antivirals </w:t>
            </w:r>
          </w:p>
        </w:tc>
        <w:tc>
          <w:tcPr>
            <w:tcW w:w="1280" w:type="dxa"/>
          </w:tcPr>
          <w:p w14:paraId="3AC08BF8" w14:textId="66C6D288" w:rsidR="007D0657" w:rsidRPr="007D0657" w:rsidRDefault="007D0657" w:rsidP="007D0657">
            <w:pPr>
              <w:rPr>
                <w:sz w:val="22"/>
                <w:szCs w:val="22"/>
              </w:rPr>
            </w:pPr>
            <w:r w:rsidRPr="007D0657">
              <w:rPr>
                <w:sz w:val="22"/>
                <w:szCs w:val="22"/>
              </w:rPr>
              <w:t xml:space="preserve">Critical </w:t>
            </w:r>
            <w:r w:rsidR="00B567F9">
              <w:rPr>
                <w:sz w:val="22"/>
                <w:szCs w:val="22"/>
              </w:rPr>
              <w:br/>
            </w:r>
          </w:p>
          <w:p w14:paraId="33D95F58" w14:textId="3FF39C55" w:rsidR="00F95A49" w:rsidRPr="00637024" w:rsidRDefault="00F95A49" w:rsidP="007D0657">
            <w:pPr>
              <w:rPr>
                <w:sz w:val="22"/>
                <w:szCs w:val="22"/>
              </w:rPr>
            </w:pPr>
          </w:p>
        </w:tc>
        <w:tc>
          <w:tcPr>
            <w:tcW w:w="2899" w:type="dxa"/>
          </w:tcPr>
          <w:p w14:paraId="183B5088" w14:textId="6021D53C" w:rsidR="00F95A49" w:rsidRPr="00637024" w:rsidRDefault="001832EC" w:rsidP="00B567F9">
            <w:pPr>
              <w:ind w:left="-498" w:firstLine="498"/>
              <w:rPr>
                <w:sz w:val="22"/>
                <w:szCs w:val="22"/>
              </w:rPr>
            </w:pPr>
            <w:r>
              <w:rPr>
                <w:sz w:val="22"/>
                <w:szCs w:val="22"/>
              </w:rPr>
              <w:t>WHO SAGE, Website; AFR CDC; country information</w:t>
            </w:r>
          </w:p>
        </w:tc>
      </w:tr>
      <w:tr w:rsidR="00B567F9" w:rsidRPr="00F41E79" w14:paraId="33D58BB2" w14:textId="368D23AF" w:rsidTr="00B567F9">
        <w:trPr>
          <w:cnfStyle w:val="000000100000" w:firstRow="0" w:lastRow="0" w:firstColumn="0" w:lastColumn="0" w:oddVBand="0" w:evenVBand="0" w:oddHBand="1" w:evenHBand="0" w:firstRowFirstColumn="0" w:firstRowLastColumn="0" w:lastRowFirstColumn="0" w:lastRowLastColumn="0"/>
          <w:trHeight w:val="20"/>
        </w:trPr>
        <w:tc>
          <w:tcPr>
            <w:tcW w:w="2061" w:type="dxa"/>
            <w:hideMark/>
          </w:tcPr>
          <w:p w14:paraId="6FD0656F" w14:textId="11D61193" w:rsidR="00F95A49" w:rsidRPr="00637024" w:rsidRDefault="00F95A49" w:rsidP="00F95A49">
            <w:pPr>
              <w:ind w:left="432" w:hanging="432"/>
              <w:rPr>
                <w:rFonts w:ascii="Arial" w:hAnsi="Arial" w:cs="Arial"/>
                <w:sz w:val="22"/>
                <w:szCs w:val="22"/>
              </w:rPr>
            </w:pPr>
            <w:r w:rsidRPr="00637024">
              <w:rPr>
                <w:sz w:val="22"/>
                <w:szCs w:val="22"/>
              </w:rPr>
              <w:t>1.3</w:t>
            </w:r>
            <w:r w:rsidRPr="00637024">
              <w:rPr>
                <w:sz w:val="22"/>
                <w:szCs w:val="22"/>
              </w:rPr>
              <w:tab/>
              <w:t>Use and Costs of Health Care</w:t>
            </w:r>
          </w:p>
        </w:tc>
        <w:tc>
          <w:tcPr>
            <w:tcW w:w="4180" w:type="dxa"/>
            <w:hideMark/>
          </w:tcPr>
          <w:p w14:paraId="6EA234C4" w14:textId="3F2D969B" w:rsidR="00F95A49" w:rsidRPr="00637024" w:rsidRDefault="00BC283B" w:rsidP="00485528">
            <w:pPr>
              <w:ind w:left="288" w:hanging="288"/>
              <w:rPr>
                <w:sz w:val="22"/>
                <w:szCs w:val="22"/>
              </w:rPr>
            </w:pPr>
            <w:sdt>
              <w:sdtPr>
                <w:rPr>
                  <w:sz w:val="22"/>
                  <w:szCs w:val="22"/>
                </w:rPr>
                <w:id w:val="423003377"/>
                <w14:checkbox>
                  <w14:checked w14:val="1"/>
                  <w14:checkedState w14:val="2612" w14:font="MS Gothic"/>
                  <w14:uncheckedState w14:val="2610" w14:font="MS Gothic"/>
                </w14:checkbox>
              </w:sdtPr>
              <w:sdtEndPr/>
              <w:sdtContent>
                <w:r w:rsidR="001832EC">
                  <w:rPr>
                    <w:rFonts w:ascii="MS Gothic" w:eastAsia="MS Gothic" w:hAnsi="MS Gothic" w:hint="eastAsia"/>
                    <w:sz w:val="22"/>
                    <w:szCs w:val="22"/>
                  </w:rPr>
                  <w:t>☒</w:t>
                </w:r>
              </w:sdtContent>
            </w:sdt>
            <w:r w:rsidR="00780EA1" w:rsidRPr="00637024">
              <w:rPr>
                <w:sz w:val="22"/>
                <w:szCs w:val="22"/>
              </w:rPr>
              <w:tab/>
            </w:r>
            <w:r w:rsidR="00F95A49" w:rsidRPr="00637024">
              <w:rPr>
                <w:sz w:val="22"/>
                <w:szCs w:val="22"/>
              </w:rPr>
              <w:t>Primary/secondary/tertiary care implications</w:t>
            </w:r>
          </w:p>
          <w:p w14:paraId="28D04F68" w14:textId="6CB3460C" w:rsidR="00F95A49" w:rsidRPr="00637024" w:rsidRDefault="00BC283B" w:rsidP="00485528">
            <w:pPr>
              <w:ind w:left="288" w:hanging="288"/>
              <w:rPr>
                <w:sz w:val="22"/>
                <w:szCs w:val="22"/>
              </w:rPr>
            </w:pPr>
            <w:sdt>
              <w:sdtPr>
                <w:rPr>
                  <w:sz w:val="22"/>
                  <w:szCs w:val="22"/>
                </w:rPr>
                <w:id w:val="-2121517308"/>
                <w14:checkbox>
                  <w14:checked w14:val="1"/>
                  <w14:checkedState w14:val="2612" w14:font="MS Gothic"/>
                  <w14:uncheckedState w14:val="2610" w14:font="MS Gothic"/>
                </w14:checkbox>
              </w:sdtPr>
              <w:sdtEndPr/>
              <w:sdtContent>
                <w:r w:rsidR="001832EC">
                  <w:rPr>
                    <w:rFonts w:ascii="MS Gothic" w:eastAsia="MS Gothic" w:hAnsi="MS Gothic" w:hint="eastAsia"/>
                    <w:sz w:val="22"/>
                    <w:szCs w:val="22"/>
                  </w:rPr>
                  <w:t>☒</w:t>
                </w:r>
              </w:sdtContent>
            </w:sdt>
            <w:r w:rsidR="00485528" w:rsidRPr="00637024">
              <w:rPr>
                <w:sz w:val="22"/>
                <w:szCs w:val="22"/>
              </w:rPr>
              <w:tab/>
            </w:r>
            <w:r w:rsidR="00F95A49" w:rsidRPr="00637024">
              <w:rPr>
                <w:sz w:val="22"/>
                <w:szCs w:val="22"/>
              </w:rPr>
              <w:t>Short- and long-term use of healthcare (e.g., treatments, hospitalization)</w:t>
            </w:r>
          </w:p>
        </w:tc>
        <w:tc>
          <w:tcPr>
            <w:tcW w:w="3994" w:type="dxa"/>
          </w:tcPr>
          <w:p w14:paraId="26D9628B" w14:textId="662555A0" w:rsidR="00F95A49" w:rsidRPr="00637024" w:rsidRDefault="003077BC" w:rsidP="00F95A49">
            <w:pPr>
              <w:rPr>
                <w:sz w:val="22"/>
                <w:szCs w:val="22"/>
              </w:rPr>
            </w:pPr>
            <w:r>
              <w:rPr>
                <w:sz w:val="22"/>
                <w:szCs w:val="22"/>
              </w:rPr>
              <w:lastRenderedPageBreak/>
              <w:t>Clinic care, hospital care, ? ICU</w:t>
            </w:r>
          </w:p>
        </w:tc>
        <w:tc>
          <w:tcPr>
            <w:tcW w:w="1280" w:type="dxa"/>
          </w:tcPr>
          <w:p w14:paraId="1B58EB5C" w14:textId="0BA510D6" w:rsidR="00423C20" w:rsidRPr="00423C20" w:rsidRDefault="006E5A6D" w:rsidP="00423C20">
            <w:pPr>
              <w:rPr>
                <w:sz w:val="22"/>
                <w:szCs w:val="22"/>
              </w:rPr>
            </w:pPr>
            <w:r>
              <w:rPr>
                <w:sz w:val="22"/>
                <w:szCs w:val="22"/>
              </w:rPr>
              <w:t>Critical</w:t>
            </w:r>
            <w:r w:rsidR="00B567F9">
              <w:rPr>
                <w:sz w:val="22"/>
                <w:szCs w:val="22"/>
              </w:rPr>
              <w:br/>
            </w:r>
          </w:p>
          <w:p w14:paraId="61C2FE82" w14:textId="10C0A850" w:rsidR="00F95A49" w:rsidRPr="00637024" w:rsidRDefault="006E5A6D" w:rsidP="00423C20">
            <w:pPr>
              <w:rPr>
                <w:sz w:val="22"/>
                <w:szCs w:val="22"/>
              </w:rPr>
            </w:pPr>
            <w:r>
              <w:rPr>
                <w:sz w:val="22"/>
                <w:szCs w:val="22"/>
              </w:rPr>
              <w:lastRenderedPageBreak/>
              <w:t>Important</w:t>
            </w:r>
          </w:p>
        </w:tc>
        <w:tc>
          <w:tcPr>
            <w:tcW w:w="2899" w:type="dxa"/>
          </w:tcPr>
          <w:p w14:paraId="5F9EC5D7" w14:textId="2D256087" w:rsidR="00F95A49" w:rsidRPr="00637024" w:rsidRDefault="001832EC" w:rsidP="00F95A49">
            <w:pPr>
              <w:rPr>
                <w:sz w:val="22"/>
                <w:szCs w:val="22"/>
              </w:rPr>
            </w:pPr>
            <w:r>
              <w:rPr>
                <w:sz w:val="22"/>
                <w:szCs w:val="22"/>
              </w:rPr>
              <w:lastRenderedPageBreak/>
              <w:t>Country information</w:t>
            </w:r>
          </w:p>
        </w:tc>
      </w:tr>
      <w:tr w:rsidR="00B567F9" w:rsidRPr="00F41E79" w14:paraId="01935307" w14:textId="6918BE11" w:rsidTr="00B567F9">
        <w:trPr>
          <w:trHeight w:val="20"/>
        </w:trPr>
        <w:tc>
          <w:tcPr>
            <w:tcW w:w="2061" w:type="dxa"/>
            <w:hideMark/>
          </w:tcPr>
          <w:p w14:paraId="225CED01" w14:textId="5AD73F96" w:rsidR="00F95A49" w:rsidRPr="00637024" w:rsidRDefault="00F95A49" w:rsidP="00F95A49">
            <w:pPr>
              <w:ind w:left="432" w:hanging="432"/>
              <w:rPr>
                <w:rFonts w:ascii="Arial" w:hAnsi="Arial" w:cs="Arial"/>
                <w:sz w:val="22"/>
                <w:szCs w:val="22"/>
              </w:rPr>
            </w:pPr>
            <w:r w:rsidRPr="00637024">
              <w:rPr>
                <w:sz w:val="22"/>
                <w:szCs w:val="22"/>
              </w:rPr>
              <w:lastRenderedPageBreak/>
              <w:t>1.4</w:t>
            </w:r>
            <w:r w:rsidRPr="00637024">
              <w:rPr>
                <w:sz w:val="22"/>
                <w:szCs w:val="22"/>
              </w:rPr>
              <w:tab/>
              <w:t>Alternative preventive and control measures</w:t>
            </w:r>
          </w:p>
        </w:tc>
        <w:tc>
          <w:tcPr>
            <w:tcW w:w="4180" w:type="dxa"/>
            <w:hideMark/>
          </w:tcPr>
          <w:p w14:paraId="61FD01D3" w14:textId="19489797" w:rsidR="00F95A49" w:rsidRPr="00637024" w:rsidRDefault="00BC283B" w:rsidP="00485528">
            <w:pPr>
              <w:ind w:left="288" w:hanging="288"/>
              <w:rPr>
                <w:sz w:val="22"/>
                <w:szCs w:val="22"/>
              </w:rPr>
            </w:pPr>
            <w:sdt>
              <w:sdtPr>
                <w:rPr>
                  <w:sz w:val="22"/>
                  <w:szCs w:val="22"/>
                </w:rPr>
                <w:id w:val="82803950"/>
                <w14:checkbox>
                  <w14:checked w14:val="1"/>
                  <w14:checkedState w14:val="2612" w14:font="MS Gothic"/>
                  <w14:uncheckedState w14:val="2610" w14:font="MS Gothic"/>
                </w14:checkbox>
              </w:sdtPr>
              <w:sdtEndPr/>
              <w:sdtContent>
                <w:r w:rsidR="001832EC">
                  <w:rPr>
                    <w:rFonts w:ascii="MS Gothic" w:eastAsia="MS Gothic" w:hAnsi="MS Gothic" w:hint="eastAsia"/>
                    <w:sz w:val="22"/>
                    <w:szCs w:val="22"/>
                  </w:rPr>
                  <w:t>☒</w:t>
                </w:r>
              </w:sdtContent>
            </w:sdt>
            <w:r w:rsidR="00485528" w:rsidRPr="00637024">
              <w:rPr>
                <w:sz w:val="22"/>
                <w:szCs w:val="22"/>
              </w:rPr>
              <w:tab/>
            </w:r>
            <w:r w:rsidR="00F95A49" w:rsidRPr="00637024">
              <w:rPr>
                <w:sz w:val="22"/>
                <w:szCs w:val="22"/>
              </w:rPr>
              <w:t>Alternative preventive and control measures (e.g., health education, hygiene) and their effectiveness, costs, practicality</w:t>
            </w:r>
          </w:p>
        </w:tc>
        <w:tc>
          <w:tcPr>
            <w:tcW w:w="3994" w:type="dxa"/>
          </w:tcPr>
          <w:p w14:paraId="0F8E5B4F" w14:textId="5A549A6C" w:rsidR="00F95A49" w:rsidRPr="00637024" w:rsidRDefault="00B567F9" w:rsidP="00B567F9">
            <w:pPr>
              <w:rPr>
                <w:sz w:val="22"/>
                <w:szCs w:val="22"/>
              </w:rPr>
            </w:pPr>
            <w:r>
              <w:rPr>
                <w:sz w:val="22"/>
                <w:szCs w:val="22"/>
              </w:rPr>
              <w:t>Infection prevention/control – isolation, handwashing, gloving/gowning, clinical care; s</w:t>
            </w:r>
            <w:r w:rsidR="000F3ECF">
              <w:rPr>
                <w:sz w:val="22"/>
                <w:szCs w:val="22"/>
              </w:rPr>
              <w:t>urveillance, contact tracing, self monitoring; h</w:t>
            </w:r>
            <w:r w:rsidR="003077BC">
              <w:rPr>
                <w:sz w:val="22"/>
                <w:szCs w:val="22"/>
              </w:rPr>
              <w:t xml:space="preserve">ealth education, hygiene, ? other </w:t>
            </w:r>
          </w:p>
        </w:tc>
        <w:tc>
          <w:tcPr>
            <w:tcW w:w="1280" w:type="dxa"/>
          </w:tcPr>
          <w:p w14:paraId="7FD18164" w14:textId="09C806E9" w:rsidR="00F95A49" w:rsidRPr="00637024" w:rsidRDefault="006E5A6D" w:rsidP="00F95A49">
            <w:pPr>
              <w:rPr>
                <w:sz w:val="22"/>
                <w:szCs w:val="22"/>
              </w:rPr>
            </w:pPr>
            <w:r>
              <w:rPr>
                <w:sz w:val="22"/>
                <w:szCs w:val="22"/>
              </w:rPr>
              <w:t>Critical</w:t>
            </w:r>
          </w:p>
        </w:tc>
        <w:tc>
          <w:tcPr>
            <w:tcW w:w="2899" w:type="dxa"/>
          </w:tcPr>
          <w:p w14:paraId="754080C4" w14:textId="051A47D0" w:rsidR="00F95A49" w:rsidRPr="00637024" w:rsidRDefault="00423C20" w:rsidP="00F95A49">
            <w:pPr>
              <w:rPr>
                <w:sz w:val="22"/>
                <w:szCs w:val="22"/>
              </w:rPr>
            </w:pPr>
            <w:r>
              <w:rPr>
                <w:sz w:val="22"/>
                <w:szCs w:val="22"/>
              </w:rPr>
              <w:t>Country information</w:t>
            </w:r>
          </w:p>
        </w:tc>
      </w:tr>
      <w:tr w:rsidR="00B567F9" w:rsidRPr="00F41E79" w14:paraId="2BCF253F" w14:textId="4698E34D" w:rsidTr="00B567F9">
        <w:trPr>
          <w:cnfStyle w:val="000000100000" w:firstRow="0" w:lastRow="0" w:firstColumn="0" w:lastColumn="0" w:oddVBand="0" w:evenVBand="0" w:oddHBand="1" w:evenHBand="0" w:firstRowFirstColumn="0" w:firstRowLastColumn="0" w:lastRowFirstColumn="0" w:lastRowLastColumn="0"/>
          <w:trHeight w:val="20"/>
        </w:trPr>
        <w:tc>
          <w:tcPr>
            <w:tcW w:w="2061" w:type="dxa"/>
            <w:hideMark/>
          </w:tcPr>
          <w:p w14:paraId="0BE4EF57" w14:textId="76E6FBA3" w:rsidR="00F95A49" w:rsidRPr="00637024" w:rsidRDefault="00F95A49" w:rsidP="00F95A49">
            <w:pPr>
              <w:ind w:left="432" w:hanging="432"/>
              <w:rPr>
                <w:rFonts w:ascii="Arial" w:hAnsi="Arial" w:cs="Arial"/>
                <w:sz w:val="22"/>
                <w:szCs w:val="22"/>
              </w:rPr>
            </w:pPr>
            <w:r w:rsidRPr="00637024">
              <w:rPr>
                <w:sz w:val="22"/>
                <w:szCs w:val="22"/>
              </w:rPr>
              <w:t>1.5</w:t>
            </w:r>
            <w:r w:rsidRPr="00637024">
              <w:rPr>
                <w:sz w:val="22"/>
                <w:szCs w:val="22"/>
              </w:rPr>
              <w:tab/>
              <w:t>Regional and international considerations</w:t>
            </w:r>
          </w:p>
        </w:tc>
        <w:tc>
          <w:tcPr>
            <w:tcW w:w="4180" w:type="dxa"/>
            <w:hideMark/>
          </w:tcPr>
          <w:p w14:paraId="15C90241" w14:textId="0597DE75" w:rsidR="00F95A49" w:rsidRPr="00637024" w:rsidRDefault="00BC283B" w:rsidP="00485528">
            <w:pPr>
              <w:ind w:left="288" w:hanging="288"/>
              <w:rPr>
                <w:sz w:val="22"/>
                <w:szCs w:val="22"/>
              </w:rPr>
            </w:pPr>
            <w:sdt>
              <w:sdtPr>
                <w:rPr>
                  <w:sz w:val="22"/>
                  <w:szCs w:val="22"/>
                </w:rPr>
                <w:id w:val="-1510675020"/>
                <w14:checkbox>
                  <w14:checked w14:val="1"/>
                  <w14:checkedState w14:val="2612" w14:font="MS Gothic"/>
                  <w14:uncheckedState w14:val="2610" w14:font="MS Gothic"/>
                </w14:checkbox>
              </w:sdtPr>
              <w:sdtEndPr/>
              <w:sdtContent>
                <w:r w:rsidR="001832EC">
                  <w:rPr>
                    <w:rFonts w:ascii="MS Gothic" w:eastAsia="MS Gothic" w:hAnsi="MS Gothic" w:hint="eastAsia"/>
                    <w:sz w:val="22"/>
                    <w:szCs w:val="22"/>
                  </w:rPr>
                  <w:t>☒</w:t>
                </w:r>
              </w:sdtContent>
            </w:sdt>
            <w:r w:rsidR="00485528" w:rsidRPr="00637024">
              <w:rPr>
                <w:sz w:val="22"/>
                <w:szCs w:val="22"/>
              </w:rPr>
              <w:tab/>
            </w:r>
            <w:r w:rsidR="00F95A49" w:rsidRPr="00637024">
              <w:rPr>
                <w:sz w:val="22"/>
                <w:szCs w:val="22"/>
              </w:rPr>
              <w:t>Existence of regional and global recommendations</w:t>
            </w:r>
          </w:p>
          <w:p w14:paraId="68BE8E22" w14:textId="5116AB43" w:rsidR="00F95A49" w:rsidRPr="00637024" w:rsidRDefault="00BC283B" w:rsidP="00485528">
            <w:pPr>
              <w:ind w:left="288" w:hanging="288"/>
              <w:rPr>
                <w:sz w:val="22"/>
                <w:szCs w:val="22"/>
              </w:rPr>
            </w:pPr>
            <w:sdt>
              <w:sdtPr>
                <w:rPr>
                  <w:sz w:val="22"/>
                  <w:szCs w:val="22"/>
                </w:rPr>
                <w:id w:val="306913997"/>
                <w14:checkbox>
                  <w14:checked w14:val="1"/>
                  <w14:checkedState w14:val="2612" w14:font="MS Gothic"/>
                  <w14:uncheckedState w14:val="2610" w14:font="MS Gothic"/>
                </w14:checkbox>
              </w:sdtPr>
              <w:sdtEndPr/>
              <w:sdtContent>
                <w:r w:rsidR="001832EC">
                  <w:rPr>
                    <w:rFonts w:ascii="MS Gothic" w:eastAsia="MS Gothic" w:hAnsi="MS Gothic" w:hint="eastAsia"/>
                    <w:sz w:val="22"/>
                    <w:szCs w:val="22"/>
                  </w:rPr>
                  <w:t>☒</w:t>
                </w:r>
              </w:sdtContent>
            </w:sdt>
            <w:r w:rsidR="00485528" w:rsidRPr="00637024">
              <w:rPr>
                <w:sz w:val="22"/>
                <w:szCs w:val="22"/>
              </w:rPr>
              <w:tab/>
            </w:r>
            <w:r w:rsidR="00F95A49" w:rsidRPr="00637024">
              <w:rPr>
                <w:sz w:val="22"/>
                <w:szCs w:val="22"/>
              </w:rPr>
              <w:t>Disease potential for international spread and pandemic risk</w:t>
            </w:r>
          </w:p>
        </w:tc>
        <w:tc>
          <w:tcPr>
            <w:tcW w:w="3994" w:type="dxa"/>
          </w:tcPr>
          <w:p w14:paraId="32D07A92" w14:textId="3D2BA541" w:rsidR="003077BC" w:rsidRDefault="003077BC" w:rsidP="00F95A49">
            <w:pPr>
              <w:rPr>
                <w:sz w:val="22"/>
                <w:szCs w:val="22"/>
              </w:rPr>
            </w:pPr>
            <w:r w:rsidRPr="53C6BD78">
              <w:rPr>
                <w:sz w:val="22"/>
                <w:szCs w:val="22"/>
              </w:rPr>
              <w:t>WHO SAGE</w:t>
            </w:r>
            <w:r w:rsidR="44882B4D" w:rsidRPr="53C6BD78">
              <w:rPr>
                <w:sz w:val="22"/>
                <w:szCs w:val="22"/>
              </w:rPr>
              <w:t xml:space="preserve">, RITAG </w:t>
            </w:r>
            <w:r w:rsidRPr="53C6BD78">
              <w:rPr>
                <w:sz w:val="22"/>
                <w:szCs w:val="22"/>
              </w:rPr>
              <w:t xml:space="preserve">recommendations, </w:t>
            </w:r>
            <w:r w:rsidR="4F67E412" w:rsidRPr="53C6BD78">
              <w:rPr>
                <w:sz w:val="22"/>
                <w:szCs w:val="22"/>
              </w:rPr>
              <w:t xml:space="preserve"> emergency committee, EPR/TAG statements </w:t>
            </w:r>
          </w:p>
          <w:p w14:paraId="4DC71580" w14:textId="47E22C6F" w:rsidR="003077BC" w:rsidRPr="00637024" w:rsidRDefault="003077BC" w:rsidP="003077BC">
            <w:pPr>
              <w:rPr>
                <w:sz w:val="22"/>
                <w:szCs w:val="22"/>
              </w:rPr>
            </w:pPr>
            <w:r w:rsidRPr="53C6BD78">
              <w:rPr>
                <w:sz w:val="22"/>
                <w:szCs w:val="22"/>
              </w:rPr>
              <w:t>Substantial risk of cross border transmission – neighboring countries, distant travel</w:t>
            </w:r>
            <w:r w:rsidR="2B255706" w:rsidRPr="53C6BD78">
              <w:rPr>
                <w:sz w:val="22"/>
                <w:szCs w:val="22"/>
              </w:rPr>
              <w:t xml:space="preserve"> (IHR, Africa CDC)</w:t>
            </w:r>
          </w:p>
        </w:tc>
        <w:tc>
          <w:tcPr>
            <w:tcW w:w="1280" w:type="dxa"/>
          </w:tcPr>
          <w:p w14:paraId="22FB6EAE" w14:textId="64666156" w:rsidR="006E5A6D" w:rsidRDefault="006E5A6D" w:rsidP="006E5A6D">
            <w:pPr>
              <w:rPr>
                <w:sz w:val="22"/>
                <w:szCs w:val="22"/>
              </w:rPr>
            </w:pPr>
            <w:r>
              <w:rPr>
                <w:sz w:val="22"/>
                <w:szCs w:val="22"/>
              </w:rPr>
              <w:t xml:space="preserve">Critical </w:t>
            </w:r>
            <w:r w:rsidR="00252E6F">
              <w:rPr>
                <w:sz w:val="22"/>
                <w:szCs w:val="22"/>
              </w:rPr>
              <w:br/>
            </w:r>
            <w:r w:rsidR="00252E6F">
              <w:rPr>
                <w:sz w:val="22"/>
                <w:szCs w:val="22"/>
              </w:rPr>
              <w:br/>
            </w:r>
          </w:p>
          <w:p w14:paraId="61D3CF23" w14:textId="77777777" w:rsidR="00F95A49" w:rsidRPr="00637024" w:rsidRDefault="00F95A49" w:rsidP="00E15A3E">
            <w:pPr>
              <w:rPr>
                <w:sz w:val="22"/>
                <w:szCs w:val="22"/>
              </w:rPr>
            </w:pPr>
          </w:p>
        </w:tc>
        <w:tc>
          <w:tcPr>
            <w:tcW w:w="2899" w:type="dxa"/>
          </w:tcPr>
          <w:p w14:paraId="7254E3CD" w14:textId="0189F00A" w:rsidR="00F95A49" w:rsidRPr="00637024" w:rsidRDefault="001832EC" w:rsidP="00F95A49">
            <w:pPr>
              <w:rPr>
                <w:sz w:val="22"/>
                <w:szCs w:val="22"/>
              </w:rPr>
            </w:pPr>
            <w:r>
              <w:rPr>
                <w:sz w:val="22"/>
                <w:szCs w:val="22"/>
              </w:rPr>
              <w:t>WHO SAGE, AFR CDC, WHO AFR</w:t>
            </w:r>
          </w:p>
        </w:tc>
      </w:tr>
    </w:tbl>
    <w:p w14:paraId="2F08BBFF" w14:textId="77777777" w:rsidR="00EA3BD5" w:rsidRDefault="00EA3BD5" w:rsidP="00EA3BD5">
      <w:bookmarkStart w:id="3" w:name="_Domain_2:_Benefits"/>
      <w:bookmarkEnd w:id="3"/>
    </w:p>
    <w:p w14:paraId="7A0AB4C1" w14:textId="40A2B11F" w:rsidR="00223F71" w:rsidRPr="003F3A4E" w:rsidRDefault="00223F71" w:rsidP="00223F71">
      <w:pPr>
        <w:rPr>
          <w:b/>
          <w:bCs/>
          <w:i/>
          <w:iCs/>
        </w:rPr>
      </w:pPr>
      <w:r w:rsidRPr="006D0A39">
        <w:rPr>
          <w:b/>
          <w:bCs/>
          <w:i/>
          <w:iCs/>
        </w:rPr>
        <w:t xml:space="preserve">PICO Question:  </w:t>
      </w:r>
      <w:r w:rsidR="003F3A4E" w:rsidRPr="003F3A4E">
        <w:rPr>
          <w:rFonts w:ascii="Calibri" w:eastAsia="Calibri" w:hAnsi="Calibri" w:cs="Calibri"/>
          <w:color w:val="000000" w:themeColor="text1"/>
        </w:rPr>
        <w:t>In persons at high risk of mpox in the community during an mpox outbreak, what is the evidence that mpox vaccine is safe and can reduce the incidence of mpox infection, hospitalization, and death?</w:t>
      </w:r>
    </w:p>
    <w:p w14:paraId="05408A1A" w14:textId="77777777" w:rsidR="00BA14CE" w:rsidRDefault="00BA14CE" w:rsidP="00BA14CE">
      <w:pPr>
        <w:pStyle w:val="Heading1"/>
      </w:pPr>
      <w:r>
        <w:t>Domain 2: Benefits and Harms of the Options</w:t>
      </w:r>
    </w:p>
    <w:tbl>
      <w:tblPr>
        <w:tblStyle w:val="GridTable4-Accent1"/>
        <w:tblW w:w="14271" w:type="dxa"/>
        <w:tblLook w:val="0420" w:firstRow="1" w:lastRow="0" w:firstColumn="0" w:lastColumn="0" w:noHBand="0" w:noVBand="1"/>
      </w:tblPr>
      <w:tblGrid>
        <w:gridCol w:w="2073"/>
        <w:gridCol w:w="3772"/>
        <w:gridCol w:w="4634"/>
        <w:gridCol w:w="1306"/>
        <w:gridCol w:w="2486"/>
      </w:tblGrid>
      <w:tr w:rsidR="00780EA1" w14:paraId="2268E41E" w14:textId="77777777" w:rsidTr="00A17E80">
        <w:trPr>
          <w:cnfStyle w:val="100000000000" w:firstRow="1" w:lastRow="0" w:firstColumn="0" w:lastColumn="0" w:oddVBand="0" w:evenVBand="0" w:oddHBand="0" w:evenHBand="0" w:firstRowFirstColumn="0" w:firstRowLastColumn="0" w:lastRowFirstColumn="0" w:lastRowLastColumn="0"/>
          <w:trHeight w:val="20"/>
        </w:trPr>
        <w:tc>
          <w:tcPr>
            <w:tcW w:w="2073" w:type="dxa"/>
            <w:hideMark/>
          </w:tcPr>
          <w:p w14:paraId="6CBB9FDC" w14:textId="77777777" w:rsidR="00780EA1" w:rsidRPr="00757B7E" w:rsidRDefault="00780EA1" w:rsidP="00EF25F2">
            <w:pPr>
              <w:rPr>
                <w:rFonts w:ascii="Arial" w:hAnsi="Arial" w:cs="Arial"/>
              </w:rPr>
            </w:pPr>
            <w:r w:rsidRPr="00757B7E">
              <w:t>Element</w:t>
            </w:r>
          </w:p>
        </w:tc>
        <w:tc>
          <w:tcPr>
            <w:tcW w:w="3772" w:type="dxa"/>
            <w:hideMark/>
          </w:tcPr>
          <w:p w14:paraId="74F0992E" w14:textId="77777777" w:rsidR="00780EA1" w:rsidRPr="00757B7E" w:rsidRDefault="00780EA1" w:rsidP="00EF25F2">
            <w:pPr>
              <w:rPr>
                <w:rFonts w:ascii="Arial" w:hAnsi="Arial" w:cs="Arial"/>
              </w:rPr>
            </w:pPr>
            <w:r>
              <w:t>Categories</w:t>
            </w:r>
            <w:r w:rsidRPr="00757B7E">
              <w:t xml:space="preserve"> of Evidence</w:t>
            </w:r>
          </w:p>
        </w:tc>
        <w:tc>
          <w:tcPr>
            <w:tcW w:w="4634" w:type="dxa"/>
            <w:vAlign w:val="center"/>
          </w:tcPr>
          <w:p w14:paraId="4D316708" w14:textId="77777777" w:rsidR="00780EA1" w:rsidRDefault="00780EA1" w:rsidP="00EF25F2">
            <w:r w:rsidRPr="009503FB">
              <w:rPr>
                <w:rFonts w:ascii="Calibri" w:eastAsia="Times New Roman" w:hAnsi="Calibri" w:cs="Calibri"/>
                <w:kern w:val="24"/>
              </w:rPr>
              <w:t>PICO-Specific Evidence to Collect</w:t>
            </w:r>
          </w:p>
        </w:tc>
        <w:tc>
          <w:tcPr>
            <w:tcW w:w="1306" w:type="dxa"/>
            <w:vAlign w:val="center"/>
          </w:tcPr>
          <w:p w14:paraId="7B4A7857" w14:textId="77777777" w:rsidR="00780EA1" w:rsidRDefault="00780EA1" w:rsidP="00EF25F2">
            <w:r w:rsidRPr="009503FB">
              <w:rPr>
                <w:rFonts w:ascii="Calibri" w:eastAsia="Times New Roman" w:hAnsi="Calibri" w:cs="Calibri"/>
                <w:kern w:val="24"/>
              </w:rPr>
              <w:t>Priority</w:t>
            </w:r>
          </w:p>
        </w:tc>
        <w:tc>
          <w:tcPr>
            <w:tcW w:w="2486" w:type="dxa"/>
          </w:tcPr>
          <w:p w14:paraId="72F7AB05" w14:textId="77777777" w:rsidR="00780EA1" w:rsidRDefault="00780EA1" w:rsidP="00EF25F2">
            <w:r>
              <w:rPr>
                <w:rFonts w:ascii="Calibri" w:eastAsia="Times New Roman" w:hAnsi="Calibri" w:cs="Calibri"/>
                <w:kern w:val="24"/>
              </w:rPr>
              <w:t>Sources of Evidence</w:t>
            </w:r>
          </w:p>
        </w:tc>
      </w:tr>
      <w:tr w:rsidR="00780EA1" w:rsidRPr="00F41E79" w14:paraId="14CAF087" w14:textId="77777777" w:rsidTr="00A17E80">
        <w:trPr>
          <w:cnfStyle w:val="000000100000" w:firstRow="0" w:lastRow="0" w:firstColumn="0" w:lastColumn="0" w:oddVBand="0" w:evenVBand="0" w:oddHBand="1" w:evenHBand="0" w:firstRowFirstColumn="0" w:firstRowLastColumn="0" w:lastRowFirstColumn="0" w:lastRowLastColumn="0"/>
          <w:trHeight w:val="20"/>
        </w:trPr>
        <w:tc>
          <w:tcPr>
            <w:tcW w:w="2073" w:type="dxa"/>
          </w:tcPr>
          <w:p w14:paraId="2D040BC5" w14:textId="6F1AACCA" w:rsidR="00780EA1" w:rsidRPr="00987CC9" w:rsidRDefault="00780EA1" w:rsidP="00780EA1">
            <w:pPr>
              <w:ind w:left="432" w:hanging="432"/>
              <w:rPr>
                <w:rFonts w:ascii="Arial" w:hAnsi="Arial" w:cs="Arial"/>
                <w:sz w:val="22"/>
                <w:szCs w:val="22"/>
              </w:rPr>
            </w:pPr>
            <w:r w:rsidRPr="00987CC9">
              <w:rPr>
                <w:sz w:val="22"/>
                <w:szCs w:val="22"/>
              </w:rPr>
              <w:t>2.1</w:t>
            </w:r>
            <w:r w:rsidRPr="00987CC9">
              <w:rPr>
                <w:sz w:val="22"/>
                <w:szCs w:val="22"/>
              </w:rPr>
              <w:tab/>
              <w:t>Vaccine characteristics</w:t>
            </w:r>
          </w:p>
        </w:tc>
        <w:tc>
          <w:tcPr>
            <w:tcW w:w="3772" w:type="dxa"/>
          </w:tcPr>
          <w:p w14:paraId="6D63BFEF" w14:textId="5525D729" w:rsidR="00780EA1" w:rsidRDefault="00BC283B" w:rsidP="00485528">
            <w:pPr>
              <w:ind w:left="288" w:hanging="288"/>
              <w:rPr>
                <w:sz w:val="22"/>
                <w:szCs w:val="22"/>
              </w:rPr>
            </w:pPr>
            <w:sdt>
              <w:sdtPr>
                <w:rPr>
                  <w:sz w:val="22"/>
                  <w:szCs w:val="22"/>
                </w:rPr>
                <w:id w:val="-735624909"/>
                <w14:checkbox>
                  <w14:checked w14:val="1"/>
                  <w14:checkedState w14:val="2612" w14:font="MS Gothic"/>
                  <w14:uncheckedState w14:val="2610" w14:font="MS Gothic"/>
                </w14:checkbox>
              </w:sdtPr>
              <w:sdtEndPr/>
              <w:sdtContent>
                <w:r w:rsidR="009624AD" w:rsidRPr="009624AD">
                  <w:rPr>
                    <w:rFonts w:ascii="MS Gothic" w:eastAsia="MS Gothic" w:hAnsi="MS Gothic" w:hint="eastAsia"/>
                    <w:sz w:val="22"/>
                    <w:szCs w:val="22"/>
                  </w:rPr>
                  <w:t>☒</w:t>
                </w:r>
              </w:sdtContent>
            </w:sdt>
            <w:r w:rsidR="00485528" w:rsidRPr="009624AD">
              <w:rPr>
                <w:sz w:val="22"/>
                <w:szCs w:val="22"/>
              </w:rPr>
              <w:tab/>
            </w:r>
            <w:r w:rsidR="00780EA1" w:rsidRPr="009624AD">
              <w:rPr>
                <w:sz w:val="22"/>
                <w:szCs w:val="22"/>
              </w:rPr>
              <w:t>Vaccine presentation, formulation, dosage, and route of administration</w:t>
            </w:r>
            <w:r w:rsidR="009624AD">
              <w:rPr>
                <w:sz w:val="22"/>
                <w:szCs w:val="22"/>
              </w:rPr>
              <w:br/>
            </w:r>
          </w:p>
          <w:p w14:paraId="13400E21" w14:textId="0DBF7197" w:rsidR="0001587D" w:rsidRDefault="0001587D" w:rsidP="00485528">
            <w:pPr>
              <w:ind w:left="288" w:hanging="288"/>
              <w:rPr>
                <w:sz w:val="22"/>
                <w:szCs w:val="22"/>
              </w:rPr>
            </w:pPr>
          </w:p>
          <w:p w14:paraId="04755C51" w14:textId="77777777" w:rsidR="00252E6F" w:rsidRDefault="00252E6F" w:rsidP="00485528">
            <w:pPr>
              <w:ind w:left="288" w:hanging="288"/>
              <w:rPr>
                <w:sz w:val="22"/>
                <w:szCs w:val="22"/>
              </w:rPr>
            </w:pPr>
          </w:p>
          <w:p w14:paraId="27BC105F" w14:textId="6B450654" w:rsidR="009624AD" w:rsidRPr="009624AD" w:rsidRDefault="009624AD" w:rsidP="00485528">
            <w:pPr>
              <w:ind w:left="288" w:hanging="288"/>
              <w:rPr>
                <w:sz w:val="22"/>
                <w:szCs w:val="22"/>
              </w:rPr>
            </w:pPr>
          </w:p>
          <w:p w14:paraId="26C72C16" w14:textId="6A2CFFD3" w:rsidR="00780EA1" w:rsidRPr="009624AD" w:rsidRDefault="00BC283B" w:rsidP="00485528">
            <w:pPr>
              <w:ind w:left="288" w:hanging="288"/>
              <w:rPr>
                <w:sz w:val="22"/>
                <w:szCs w:val="22"/>
              </w:rPr>
            </w:pPr>
            <w:sdt>
              <w:sdtPr>
                <w:rPr>
                  <w:sz w:val="22"/>
                  <w:szCs w:val="22"/>
                </w:rPr>
                <w:id w:val="1638521347"/>
                <w14:checkbox>
                  <w14:checked w14:val="1"/>
                  <w14:checkedState w14:val="2612" w14:font="MS Gothic"/>
                  <w14:uncheckedState w14:val="2610" w14:font="MS Gothic"/>
                </w14:checkbox>
              </w:sdtPr>
              <w:sdtEndPr/>
              <w:sdtContent>
                <w:r w:rsidR="007C41B1">
                  <w:rPr>
                    <w:rFonts w:ascii="MS Gothic" w:eastAsia="MS Gothic" w:hAnsi="MS Gothic" w:cs="Segoe UI Symbol" w:hint="eastAsia"/>
                    <w:sz w:val="22"/>
                    <w:szCs w:val="22"/>
                  </w:rPr>
                  <w:t>☒</w:t>
                </w:r>
              </w:sdtContent>
            </w:sdt>
            <w:r w:rsidR="00485528" w:rsidRPr="009624AD">
              <w:rPr>
                <w:sz w:val="22"/>
                <w:szCs w:val="22"/>
              </w:rPr>
              <w:tab/>
            </w:r>
            <w:r w:rsidR="00780EA1" w:rsidRPr="009624AD">
              <w:rPr>
                <w:sz w:val="22"/>
                <w:szCs w:val="22"/>
              </w:rPr>
              <w:t>Administration schedule and possibility of co-administration with other vaccines</w:t>
            </w:r>
            <w:r w:rsidR="0001587D">
              <w:rPr>
                <w:sz w:val="22"/>
                <w:szCs w:val="22"/>
              </w:rPr>
              <w:t xml:space="preserve"> and </w:t>
            </w:r>
            <w:r w:rsidR="00780EA1" w:rsidRPr="009624AD">
              <w:rPr>
                <w:sz w:val="22"/>
                <w:szCs w:val="22"/>
              </w:rPr>
              <w:t>drugs</w:t>
            </w:r>
          </w:p>
          <w:p w14:paraId="41F31000" w14:textId="720066EE" w:rsidR="00780EA1" w:rsidRDefault="00BC283B" w:rsidP="00485528">
            <w:pPr>
              <w:ind w:left="288" w:hanging="288"/>
              <w:rPr>
                <w:sz w:val="22"/>
                <w:szCs w:val="22"/>
              </w:rPr>
            </w:pPr>
            <w:sdt>
              <w:sdtPr>
                <w:rPr>
                  <w:sz w:val="22"/>
                  <w:szCs w:val="22"/>
                </w:rPr>
                <w:id w:val="1422059516"/>
                <w14:checkbox>
                  <w14:checked w14:val="1"/>
                  <w14:checkedState w14:val="2612" w14:font="MS Gothic"/>
                  <w14:uncheckedState w14:val="2610" w14:font="MS Gothic"/>
                </w14:checkbox>
              </w:sdtPr>
              <w:sdtEndPr/>
              <w:sdtContent>
                <w:r w:rsidR="007C41B1">
                  <w:rPr>
                    <w:rFonts w:ascii="MS Gothic" w:eastAsia="MS Gothic" w:hAnsi="MS Gothic" w:cs="Segoe UI Symbol" w:hint="eastAsia"/>
                    <w:sz w:val="22"/>
                    <w:szCs w:val="22"/>
                  </w:rPr>
                  <w:t>☒</w:t>
                </w:r>
              </w:sdtContent>
            </w:sdt>
            <w:r w:rsidR="00485528" w:rsidRPr="009624AD">
              <w:rPr>
                <w:sz w:val="22"/>
                <w:szCs w:val="22"/>
              </w:rPr>
              <w:tab/>
            </w:r>
            <w:r w:rsidR="00780EA1" w:rsidRPr="009624AD">
              <w:rPr>
                <w:sz w:val="22"/>
                <w:szCs w:val="22"/>
              </w:rPr>
              <w:t>Flexibility of vaccination schedule</w:t>
            </w:r>
          </w:p>
          <w:p w14:paraId="0E76E5DC" w14:textId="7E64074B" w:rsidR="009624AD" w:rsidRDefault="009624AD" w:rsidP="00485528">
            <w:pPr>
              <w:ind w:left="288" w:hanging="288"/>
              <w:rPr>
                <w:sz w:val="22"/>
                <w:szCs w:val="22"/>
              </w:rPr>
            </w:pPr>
          </w:p>
          <w:p w14:paraId="5E78C8E5" w14:textId="1A1664C1" w:rsidR="000F3ECF" w:rsidRDefault="000F3ECF" w:rsidP="00485528">
            <w:pPr>
              <w:ind w:left="288" w:hanging="288"/>
              <w:rPr>
                <w:sz w:val="22"/>
                <w:szCs w:val="22"/>
              </w:rPr>
            </w:pPr>
          </w:p>
          <w:p w14:paraId="6823F037" w14:textId="008E35A1" w:rsidR="000F3ECF" w:rsidRDefault="000F3ECF" w:rsidP="00485528">
            <w:pPr>
              <w:ind w:left="288" w:hanging="288"/>
              <w:rPr>
                <w:sz w:val="22"/>
                <w:szCs w:val="22"/>
              </w:rPr>
            </w:pPr>
          </w:p>
          <w:p w14:paraId="6AAC02FB" w14:textId="2571FDCF" w:rsidR="0001587D" w:rsidRDefault="0001587D" w:rsidP="00485528">
            <w:pPr>
              <w:ind w:left="288" w:hanging="288"/>
              <w:rPr>
                <w:sz w:val="22"/>
                <w:szCs w:val="22"/>
              </w:rPr>
            </w:pPr>
          </w:p>
          <w:p w14:paraId="2122C3EB" w14:textId="4C278574" w:rsidR="0001587D" w:rsidRDefault="0001587D" w:rsidP="00485528">
            <w:pPr>
              <w:ind w:left="288" w:hanging="288"/>
              <w:rPr>
                <w:sz w:val="22"/>
                <w:szCs w:val="22"/>
              </w:rPr>
            </w:pPr>
          </w:p>
          <w:p w14:paraId="2337A3D6" w14:textId="77777777" w:rsidR="0001587D" w:rsidRPr="009624AD" w:rsidRDefault="0001587D" w:rsidP="00485528">
            <w:pPr>
              <w:ind w:left="288" w:hanging="288"/>
              <w:rPr>
                <w:sz w:val="22"/>
                <w:szCs w:val="22"/>
              </w:rPr>
            </w:pPr>
          </w:p>
          <w:p w14:paraId="441BB2BE" w14:textId="3DB40C0B" w:rsidR="00780EA1" w:rsidRPr="009624AD" w:rsidRDefault="00BC283B" w:rsidP="00485528">
            <w:pPr>
              <w:ind w:left="288" w:hanging="288"/>
              <w:rPr>
                <w:sz w:val="22"/>
                <w:szCs w:val="22"/>
              </w:rPr>
            </w:pPr>
            <w:sdt>
              <w:sdtPr>
                <w:rPr>
                  <w:sz w:val="22"/>
                  <w:szCs w:val="22"/>
                </w:rPr>
                <w:id w:val="260651071"/>
                <w14:checkbox>
                  <w14:checked w14:val="1"/>
                  <w14:checkedState w14:val="2612" w14:font="MS Gothic"/>
                  <w14:uncheckedState w14:val="2610" w14:font="MS Gothic"/>
                </w14:checkbox>
              </w:sdtPr>
              <w:sdtEndPr/>
              <w:sdtContent>
                <w:r w:rsidR="00252E6F">
                  <w:rPr>
                    <w:rFonts w:ascii="MS Gothic" w:eastAsia="MS Gothic" w:hAnsi="MS Gothic" w:hint="eastAsia"/>
                    <w:sz w:val="22"/>
                    <w:szCs w:val="22"/>
                  </w:rPr>
                  <w:t>☒</w:t>
                </w:r>
              </w:sdtContent>
            </w:sdt>
            <w:r w:rsidR="00485528" w:rsidRPr="009624AD">
              <w:rPr>
                <w:sz w:val="22"/>
                <w:szCs w:val="22"/>
              </w:rPr>
              <w:tab/>
            </w:r>
            <w:r w:rsidR="00780EA1" w:rsidRPr="009624AD">
              <w:rPr>
                <w:sz w:val="22"/>
                <w:szCs w:val="22"/>
              </w:rPr>
              <w:t>Cold chain and logistic requirements</w:t>
            </w:r>
          </w:p>
        </w:tc>
        <w:tc>
          <w:tcPr>
            <w:tcW w:w="4634" w:type="dxa"/>
          </w:tcPr>
          <w:p w14:paraId="5D93690F" w14:textId="3F3789E4" w:rsidR="00780EA1" w:rsidRPr="00252E6F" w:rsidRDefault="003077BC" w:rsidP="003077BC">
            <w:pPr>
              <w:rPr>
                <w:sz w:val="22"/>
                <w:szCs w:val="22"/>
              </w:rPr>
            </w:pPr>
            <w:r w:rsidRPr="009624AD">
              <w:rPr>
                <w:sz w:val="22"/>
                <w:szCs w:val="22"/>
              </w:rPr>
              <w:t xml:space="preserve">MVA-BN </w:t>
            </w:r>
            <w:r w:rsidR="009624AD" w:rsidRPr="009624AD">
              <w:rPr>
                <w:sz w:val="22"/>
                <w:szCs w:val="22"/>
              </w:rPr>
              <w:t>(non-replicating)</w:t>
            </w:r>
            <w:r w:rsidRPr="009624AD">
              <w:rPr>
                <w:sz w:val="22"/>
                <w:szCs w:val="22"/>
              </w:rPr>
              <w:t>(2 dose</w:t>
            </w:r>
            <w:r w:rsidR="009624AD" w:rsidRPr="009624AD">
              <w:rPr>
                <w:sz w:val="22"/>
                <w:szCs w:val="22"/>
              </w:rPr>
              <w:t xml:space="preserve"> –SQ or ID</w:t>
            </w:r>
            <w:r w:rsidRPr="009624AD">
              <w:rPr>
                <w:sz w:val="22"/>
                <w:szCs w:val="22"/>
              </w:rPr>
              <w:t xml:space="preserve"> , 4 weeks apart); </w:t>
            </w:r>
            <w:r w:rsidR="009624AD" w:rsidRPr="009624AD">
              <w:rPr>
                <w:sz w:val="22"/>
                <w:szCs w:val="22"/>
              </w:rPr>
              <w:br/>
            </w:r>
            <w:r w:rsidRPr="009624AD">
              <w:rPr>
                <w:sz w:val="22"/>
                <w:szCs w:val="22"/>
              </w:rPr>
              <w:t>LC-16 (</w:t>
            </w:r>
            <w:r w:rsidR="009624AD" w:rsidRPr="009624AD">
              <w:rPr>
                <w:sz w:val="22"/>
                <w:szCs w:val="22"/>
              </w:rPr>
              <w:t>minimally replicating)(</w:t>
            </w:r>
            <w:r w:rsidRPr="009624AD">
              <w:rPr>
                <w:sz w:val="22"/>
                <w:szCs w:val="22"/>
              </w:rPr>
              <w:t>1 dose,</w:t>
            </w:r>
            <w:r w:rsidR="009624AD" w:rsidRPr="009624AD">
              <w:rPr>
                <w:sz w:val="22"/>
                <w:szCs w:val="22"/>
              </w:rPr>
              <w:t xml:space="preserve"> </w:t>
            </w:r>
            <w:r w:rsidR="009624AD" w:rsidRPr="00252E6F">
              <w:rPr>
                <w:sz w:val="22"/>
                <w:szCs w:val="22"/>
              </w:rPr>
              <w:t>percutaneous with</w:t>
            </w:r>
            <w:r w:rsidRPr="00252E6F">
              <w:rPr>
                <w:sz w:val="22"/>
                <w:szCs w:val="22"/>
              </w:rPr>
              <w:t xml:space="preserve"> bifurcated needle)</w:t>
            </w:r>
          </w:p>
          <w:p w14:paraId="50B1B2E3" w14:textId="7FC5FCD7" w:rsidR="000F3ECF" w:rsidRPr="00252E6F" w:rsidRDefault="000F3ECF" w:rsidP="003077BC">
            <w:pPr>
              <w:rPr>
                <w:sz w:val="22"/>
                <w:szCs w:val="22"/>
              </w:rPr>
            </w:pPr>
            <w:r w:rsidRPr="00252E6F">
              <w:rPr>
                <w:sz w:val="22"/>
                <w:szCs w:val="22"/>
              </w:rPr>
              <w:t xml:space="preserve">ACAM-2000 </w:t>
            </w:r>
            <w:r w:rsidR="0001587D" w:rsidRPr="00252E6F">
              <w:rPr>
                <w:sz w:val="22"/>
                <w:szCs w:val="22"/>
              </w:rPr>
              <w:t>(replicating, 1 dose, bifurcated needle)</w:t>
            </w:r>
          </w:p>
          <w:p w14:paraId="6981C488" w14:textId="073EFE2E" w:rsidR="00252E6F" w:rsidRPr="00252E6F" w:rsidRDefault="00252E6F" w:rsidP="003077BC">
            <w:pPr>
              <w:rPr>
                <w:sz w:val="22"/>
                <w:szCs w:val="22"/>
              </w:rPr>
            </w:pPr>
            <w:r w:rsidRPr="00252E6F">
              <w:rPr>
                <w:sz w:val="22"/>
                <w:szCs w:val="22"/>
              </w:rPr>
              <w:t>#  doses/vial</w:t>
            </w:r>
          </w:p>
          <w:p w14:paraId="5A7A2C2A" w14:textId="16FE3BCB" w:rsidR="000F3ECF" w:rsidRPr="00252E6F" w:rsidRDefault="00E15A3E" w:rsidP="003077BC">
            <w:pPr>
              <w:rPr>
                <w:sz w:val="22"/>
                <w:szCs w:val="22"/>
              </w:rPr>
            </w:pPr>
            <w:r>
              <w:rPr>
                <w:sz w:val="22"/>
                <w:szCs w:val="22"/>
              </w:rPr>
              <w:t xml:space="preserve">No </w:t>
            </w:r>
            <w:r w:rsidR="00627BFF">
              <w:rPr>
                <w:sz w:val="22"/>
                <w:szCs w:val="22"/>
              </w:rPr>
              <w:t>data</w:t>
            </w:r>
            <w:r>
              <w:rPr>
                <w:sz w:val="22"/>
                <w:szCs w:val="22"/>
              </w:rPr>
              <w:t xml:space="preserve"> re. </w:t>
            </w:r>
            <w:r w:rsidR="009624AD" w:rsidRPr="00252E6F">
              <w:rPr>
                <w:sz w:val="22"/>
                <w:szCs w:val="22"/>
              </w:rPr>
              <w:t>Co-administration with other vaccines</w:t>
            </w:r>
          </w:p>
          <w:p w14:paraId="06A19AFA" w14:textId="77777777" w:rsidR="009624AD" w:rsidRPr="00252E6F" w:rsidRDefault="009624AD" w:rsidP="003077BC">
            <w:pPr>
              <w:rPr>
                <w:sz w:val="22"/>
                <w:szCs w:val="22"/>
              </w:rPr>
            </w:pPr>
            <w:r w:rsidRPr="00252E6F">
              <w:rPr>
                <w:sz w:val="22"/>
                <w:szCs w:val="22"/>
              </w:rPr>
              <w:t xml:space="preserve">MVA-BN – 18+ yrs; &lt;18 EUA; </w:t>
            </w:r>
          </w:p>
          <w:p w14:paraId="7601C1FA" w14:textId="05D0D106" w:rsidR="009624AD" w:rsidRPr="00252E6F" w:rsidRDefault="0001587D" w:rsidP="003077BC">
            <w:pPr>
              <w:rPr>
                <w:sz w:val="22"/>
                <w:szCs w:val="22"/>
              </w:rPr>
            </w:pPr>
            <w:r w:rsidRPr="00252E6F">
              <w:rPr>
                <w:sz w:val="22"/>
                <w:szCs w:val="22"/>
              </w:rPr>
              <w:t xml:space="preserve">LC-16 – all ages; </w:t>
            </w:r>
            <w:r w:rsidR="009624AD" w:rsidRPr="00252E6F">
              <w:rPr>
                <w:sz w:val="22"/>
                <w:szCs w:val="22"/>
              </w:rPr>
              <w:t xml:space="preserve">unsuitable for immunocompromised, pregnant, proliferative skin diseases  </w:t>
            </w:r>
          </w:p>
          <w:p w14:paraId="474542D0" w14:textId="3DB4AA73" w:rsidR="0001587D" w:rsidRPr="00252E6F" w:rsidRDefault="0001587D" w:rsidP="003077BC">
            <w:pPr>
              <w:rPr>
                <w:sz w:val="22"/>
                <w:szCs w:val="22"/>
              </w:rPr>
            </w:pPr>
            <w:r w:rsidRPr="00252E6F">
              <w:rPr>
                <w:sz w:val="22"/>
                <w:szCs w:val="22"/>
              </w:rPr>
              <w:t xml:space="preserve">ACAM2000 – </w:t>
            </w:r>
            <w:r w:rsidR="00E15A3E">
              <w:rPr>
                <w:sz w:val="22"/>
                <w:szCs w:val="22"/>
              </w:rPr>
              <w:t xml:space="preserve">immunocompetent </w:t>
            </w:r>
            <w:r w:rsidRPr="00252E6F">
              <w:rPr>
                <w:sz w:val="22"/>
                <w:szCs w:val="22"/>
              </w:rPr>
              <w:t xml:space="preserve">adults: unsuitable for immunocompromised, pregnant, proliferative skin diseases, infants </w:t>
            </w:r>
            <w:r w:rsidR="00252E6F" w:rsidRPr="00252E6F">
              <w:rPr>
                <w:sz w:val="22"/>
                <w:szCs w:val="22"/>
              </w:rPr>
              <w:t>&lt;</w:t>
            </w:r>
            <w:r w:rsidRPr="00252E6F">
              <w:rPr>
                <w:sz w:val="22"/>
                <w:szCs w:val="22"/>
              </w:rPr>
              <w:t xml:space="preserve"> 1yr  </w:t>
            </w:r>
          </w:p>
          <w:p w14:paraId="75A4F5BE" w14:textId="782DAE23" w:rsidR="009624AD" w:rsidRPr="009624AD" w:rsidRDefault="009624AD" w:rsidP="00252E6F">
            <w:pPr>
              <w:rPr>
                <w:sz w:val="22"/>
                <w:szCs w:val="22"/>
              </w:rPr>
            </w:pPr>
            <w:r w:rsidRPr="00252E6F">
              <w:rPr>
                <w:sz w:val="22"/>
                <w:szCs w:val="22"/>
              </w:rPr>
              <w:t xml:space="preserve">Liquid frozen (MVA-BN) or freeze dried (MVA-BN, LC-16) </w:t>
            </w:r>
          </w:p>
        </w:tc>
        <w:tc>
          <w:tcPr>
            <w:tcW w:w="1306" w:type="dxa"/>
          </w:tcPr>
          <w:p w14:paraId="15CC4E05" w14:textId="4D88CB6B" w:rsidR="00780EA1" w:rsidRDefault="00B62262" w:rsidP="00780EA1">
            <w:pPr>
              <w:rPr>
                <w:sz w:val="22"/>
                <w:szCs w:val="22"/>
              </w:rPr>
            </w:pPr>
            <w:r>
              <w:rPr>
                <w:sz w:val="22"/>
                <w:szCs w:val="22"/>
              </w:rPr>
              <w:t>Important</w:t>
            </w:r>
            <w:r w:rsidR="00252E6F">
              <w:rPr>
                <w:sz w:val="22"/>
                <w:szCs w:val="22"/>
              </w:rPr>
              <w:br/>
            </w:r>
            <w:r w:rsidR="00252E6F">
              <w:rPr>
                <w:sz w:val="22"/>
                <w:szCs w:val="22"/>
              </w:rPr>
              <w:br/>
            </w:r>
            <w:r w:rsidR="00252E6F">
              <w:rPr>
                <w:sz w:val="22"/>
                <w:szCs w:val="22"/>
              </w:rPr>
              <w:br/>
            </w:r>
            <w:r w:rsidR="00252E6F">
              <w:rPr>
                <w:sz w:val="22"/>
                <w:szCs w:val="22"/>
              </w:rPr>
              <w:br/>
            </w:r>
            <w:r w:rsidR="00252E6F">
              <w:rPr>
                <w:sz w:val="22"/>
                <w:szCs w:val="22"/>
              </w:rPr>
              <w:br/>
            </w:r>
            <w:r w:rsidR="00252E6F">
              <w:rPr>
                <w:sz w:val="22"/>
                <w:szCs w:val="22"/>
              </w:rPr>
              <w:br/>
            </w:r>
          </w:p>
          <w:p w14:paraId="5474683E" w14:textId="259ECE2D" w:rsidR="00B62262" w:rsidRPr="009624AD" w:rsidRDefault="00B62262" w:rsidP="00780EA1">
            <w:pPr>
              <w:rPr>
                <w:sz w:val="22"/>
                <w:szCs w:val="22"/>
              </w:rPr>
            </w:pPr>
          </w:p>
        </w:tc>
        <w:tc>
          <w:tcPr>
            <w:tcW w:w="2486" w:type="dxa"/>
          </w:tcPr>
          <w:p w14:paraId="5092730C" w14:textId="77777777" w:rsidR="00780EA1" w:rsidRDefault="0001587D" w:rsidP="00780EA1">
            <w:pPr>
              <w:rPr>
                <w:sz w:val="22"/>
                <w:szCs w:val="22"/>
              </w:rPr>
            </w:pPr>
            <w:r>
              <w:rPr>
                <w:sz w:val="22"/>
                <w:szCs w:val="22"/>
              </w:rPr>
              <w:t>WHO SAGE August 2024</w:t>
            </w:r>
          </w:p>
          <w:p w14:paraId="10CFF3DC" w14:textId="612018E5" w:rsidR="00252E6F" w:rsidRPr="009624AD" w:rsidRDefault="00A17E80" w:rsidP="00252E6F">
            <w:pPr>
              <w:rPr>
                <w:sz w:val="22"/>
                <w:szCs w:val="22"/>
              </w:rPr>
            </w:pPr>
            <w:r>
              <w:rPr>
                <w:sz w:val="22"/>
                <w:szCs w:val="22"/>
              </w:rPr>
              <w:t xml:space="preserve">Vaccine </w:t>
            </w:r>
            <w:r w:rsidR="00252E6F">
              <w:rPr>
                <w:sz w:val="22"/>
                <w:szCs w:val="22"/>
              </w:rPr>
              <w:t>Product package insert</w:t>
            </w:r>
            <w:r w:rsidR="00E15A3E">
              <w:rPr>
                <w:sz w:val="22"/>
                <w:szCs w:val="22"/>
              </w:rPr>
              <w:t>s</w:t>
            </w:r>
          </w:p>
        </w:tc>
      </w:tr>
      <w:tr w:rsidR="0044590F" w:rsidRPr="0044590F" w14:paraId="418E4898" w14:textId="77777777" w:rsidTr="00A17E80">
        <w:trPr>
          <w:trHeight w:val="20"/>
        </w:trPr>
        <w:tc>
          <w:tcPr>
            <w:tcW w:w="2073" w:type="dxa"/>
          </w:tcPr>
          <w:p w14:paraId="487A27F6" w14:textId="7F28EC21" w:rsidR="00780EA1" w:rsidRPr="0044590F" w:rsidRDefault="00780EA1" w:rsidP="00780EA1">
            <w:pPr>
              <w:ind w:left="432" w:hanging="432"/>
              <w:rPr>
                <w:rFonts w:ascii="Arial" w:hAnsi="Arial" w:cs="Arial"/>
                <w:sz w:val="22"/>
                <w:szCs w:val="22"/>
              </w:rPr>
            </w:pPr>
            <w:r w:rsidRPr="0044590F">
              <w:rPr>
                <w:sz w:val="22"/>
                <w:szCs w:val="22"/>
              </w:rPr>
              <w:lastRenderedPageBreak/>
              <w:t>2.2</w:t>
            </w:r>
            <w:r w:rsidRPr="0044590F">
              <w:rPr>
                <w:sz w:val="22"/>
                <w:szCs w:val="22"/>
              </w:rPr>
              <w:tab/>
              <w:t xml:space="preserve">Safety </w:t>
            </w:r>
          </w:p>
        </w:tc>
        <w:tc>
          <w:tcPr>
            <w:tcW w:w="3772" w:type="dxa"/>
          </w:tcPr>
          <w:p w14:paraId="5FF7BC80" w14:textId="161B8F08" w:rsidR="00780EA1" w:rsidRPr="0044590F" w:rsidRDefault="00BC283B" w:rsidP="00485528">
            <w:pPr>
              <w:ind w:left="288" w:hanging="288"/>
              <w:rPr>
                <w:sz w:val="22"/>
                <w:szCs w:val="22"/>
              </w:rPr>
            </w:pPr>
            <w:sdt>
              <w:sdtPr>
                <w:rPr>
                  <w:sz w:val="22"/>
                  <w:szCs w:val="22"/>
                </w:rPr>
                <w:id w:val="-782801312"/>
                <w14:checkbox>
                  <w14:checked w14:val="1"/>
                  <w14:checkedState w14:val="2612" w14:font="MS Gothic"/>
                  <w14:uncheckedState w14:val="2610" w14:font="MS Gothic"/>
                </w14:checkbox>
              </w:sdtPr>
              <w:sdtEndPr/>
              <w:sdtContent>
                <w:r w:rsidR="005C2CDA">
                  <w:rPr>
                    <w:rFonts w:ascii="MS Gothic" w:eastAsia="MS Gothic" w:hAnsi="MS Gothic" w:hint="eastAsia"/>
                    <w:sz w:val="22"/>
                    <w:szCs w:val="22"/>
                  </w:rPr>
                  <w:t>☒</w:t>
                </w:r>
              </w:sdtContent>
            </w:sdt>
            <w:r w:rsidR="00780EA1" w:rsidRPr="0044590F">
              <w:rPr>
                <w:sz w:val="22"/>
                <w:szCs w:val="22"/>
              </w:rPr>
              <w:t>Type, consequences and frequency of short and long-term adverse events following vaccination</w:t>
            </w:r>
            <w:r w:rsidR="000F3ECF" w:rsidRPr="0044590F">
              <w:rPr>
                <w:sz w:val="22"/>
                <w:szCs w:val="22"/>
              </w:rPr>
              <w:br/>
            </w:r>
          </w:p>
          <w:p w14:paraId="61C496CB" w14:textId="254D54E9" w:rsidR="0044590F" w:rsidRPr="0044590F" w:rsidRDefault="0044590F" w:rsidP="00485528">
            <w:pPr>
              <w:ind w:left="288" w:hanging="288"/>
              <w:rPr>
                <w:rFonts w:eastAsiaTheme="minorEastAsia"/>
                <w:sz w:val="22"/>
                <w:szCs w:val="22"/>
              </w:rPr>
            </w:pPr>
          </w:p>
          <w:p w14:paraId="3E0766EC" w14:textId="374ED98C" w:rsidR="00780EA1" w:rsidRPr="0044590F" w:rsidRDefault="00BC283B" w:rsidP="00485528">
            <w:pPr>
              <w:ind w:left="288" w:hanging="288"/>
              <w:rPr>
                <w:sz w:val="22"/>
                <w:szCs w:val="22"/>
              </w:rPr>
            </w:pPr>
            <w:sdt>
              <w:sdtPr>
                <w:rPr>
                  <w:sz w:val="22"/>
                  <w:szCs w:val="22"/>
                </w:rPr>
                <w:id w:val="-710575839"/>
                <w14:checkbox>
                  <w14:checked w14:val="1"/>
                  <w14:checkedState w14:val="2612" w14:font="MS Gothic"/>
                  <w14:uncheckedState w14:val="2610" w14:font="MS Gothic"/>
                </w14:checkbox>
              </w:sdtPr>
              <w:sdtEndPr/>
              <w:sdtContent>
                <w:r w:rsidR="0044590F" w:rsidRPr="0044590F">
                  <w:rPr>
                    <w:rFonts w:ascii="MS Gothic" w:eastAsia="MS Gothic" w:hAnsi="MS Gothic" w:hint="eastAsia"/>
                    <w:sz w:val="22"/>
                    <w:szCs w:val="22"/>
                  </w:rPr>
                  <w:t>☒</w:t>
                </w:r>
              </w:sdtContent>
            </w:sdt>
            <w:r w:rsidR="00485528" w:rsidRPr="0044590F">
              <w:rPr>
                <w:sz w:val="22"/>
                <w:szCs w:val="22"/>
              </w:rPr>
              <w:tab/>
            </w:r>
            <w:r w:rsidR="00780EA1" w:rsidRPr="0044590F">
              <w:rPr>
                <w:sz w:val="22"/>
                <w:szCs w:val="22"/>
              </w:rPr>
              <w:t>Risk groups or risk factors for adverse events</w:t>
            </w:r>
          </w:p>
          <w:p w14:paraId="66FC9551" w14:textId="77777777" w:rsidR="0044590F" w:rsidRPr="0044590F" w:rsidRDefault="0044590F" w:rsidP="00485528">
            <w:pPr>
              <w:ind w:left="288" w:hanging="288"/>
              <w:rPr>
                <w:sz w:val="22"/>
                <w:szCs w:val="22"/>
              </w:rPr>
            </w:pPr>
          </w:p>
          <w:p w14:paraId="3C98BCC6" w14:textId="56EDEA0E" w:rsidR="00780EA1" w:rsidRPr="0044590F" w:rsidRDefault="00BC283B" w:rsidP="00485528">
            <w:pPr>
              <w:ind w:left="288" w:hanging="288"/>
              <w:rPr>
                <w:sz w:val="22"/>
                <w:szCs w:val="22"/>
              </w:rPr>
            </w:pPr>
            <w:sdt>
              <w:sdtPr>
                <w:rPr>
                  <w:sz w:val="22"/>
                  <w:szCs w:val="22"/>
                </w:rPr>
                <w:id w:val="-1330670077"/>
                <w14:checkbox>
                  <w14:checked w14:val="1"/>
                  <w14:checkedState w14:val="2612" w14:font="MS Gothic"/>
                  <w14:uncheckedState w14:val="2610" w14:font="MS Gothic"/>
                </w14:checkbox>
              </w:sdtPr>
              <w:sdtEndPr/>
              <w:sdtContent>
                <w:r w:rsidR="0044590F" w:rsidRPr="0044590F">
                  <w:rPr>
                    <w:rFonts w:ascii="MS Gothic" w:eastAsia="MS Gothic" w:hAnsi="MS Gothic" w:hint="eastAsia"/>
                    <w:sz w:val="22"/>
                    <w:szCs w:val="22"/>
                  </w:rPr>
                  <w:t>☒</w:t>
                </w:r>
              </w:sdtContent>
            </w:sdt>
            <w:r w:rsidR="00485528" w:rsidRPr="0044590F">
              <w:rPr>
                <w:sz w:val="22"/>
                <w:szCs w:val="22"/>
              </w:rPr>
              <w:tab/>
            </w:r>
            <w:r w:rsidR="00780EA1" w:rsidRPr="0044590F">
              <w:rPr>
                <w:sz w:val="22"/>
                <w:szCs w:val="22"/>
              </w:rPr>
              <w:t>Contraindications or precautions</w:t>
            </w:r>
          </w:p>
        </w:tc>
        <w:tc>
          <w:tcPr>
            <w:tcW w:w="4634" w:type="dxa"/>
          </w:tcPr>
          <w:p w14:paraId="097CBFDE" w14:textId="4042E63D" w:rsidR="00780EA1" w:rsidRPr="0044590F" w:rsidRDefault="2E0AA6A8" w:rsidP="53C6BD78">
            <w:pPr>
              <w:rPr>
                <w:sz w:val="22"/>
                <w:szCs w:val="22"/>
              </w:rPr>
            </w:pPr>
            <w:r w:rsidRPr="0044590F">
              <w:rPr>
                <w:sz w:val="22"/>
                <w:szCs w:val="22"/>
              </w:rPr>
              <w:t xml:space="preserve">Identified type, consequences and frequency of short and long-term adverse events following vaccination during clinical trials  </w:t>
            </w:r>
            <w:r w:rsidR="0044590F" w:rsidRPr="0044590F">
              <w:rPr>
                <w:sz w:val="22"/>
                <w:szCs w:val="22"/>
              </w:rPr>
              <w:t xml:space="preserve">- </w:t>
            </w:r>
            <w:r w:rsidRPr="0044590F">
              <w:rPr>
                <w:sz w:val="22"/>
                <w:szCs w:val="22"/>
              </w:rPr>
              <w:t xml:space="preserve"> </w:t>
            </w:r>
            <w:r w:rsidR="5F8BF6E0" w:rsidRPr="0044590F">
              <w:rPr>
                <w:sz w:val="22"/>
                <w:szCs w:val="22"/>
              </w:rPr>
              <w:t>Local or muscle pain, redness, swelling, headache, fatigue</w:t>
            </w:r>
          </w:p>
          <w:p w14:paraId="0E780DD4" w14:textId="718BF812" w:rsidR="009624AD" w:rsidRPr="0044590F" w:rsidRDefault="009624AD" w:rsidP="009624AD">
            <w:pPr>
              <w:rPr>
                <w:sz w:val="22"/>
                <w:szCs w:val="22"/>
              </w:rPr>
            </w:pPr>
            <w:r w:rsidRPr="0044590F">
              <w:rPr>
                <w:sz w:val="22"/>
                <w:szCs w:val="22"/>
              </w:rPr>
              <w:t xml:space="preserve">No serious AEFI identified </w:t>
            </w:r>
            <w:r w:rsidR="000F3ECF" w:rsidRPr="0044590F">
              <w:rPr>
                <w:sz w:val="22"/>
                <w:szCs w:val="22"/>
              </w:rPr>
              <w:t>for MVA-BN, LC-16</w:t>
            </w:r>
            <w:r w:rsidR="0001587D" w:rsidRPr="0044590F">
              <w:rPr>
                <w:sz w:val="22"/>
                <w:szCs w:val="22"/>
              </w:rPr>
              <w:t xml:space="preserve">; ACAM2000- Myopericarditis – </w:t>
            </w:r>
            <w:r w:rsidR="00E15A3E">
              <w:rPr>
                <w:sz w:val="22"/>
                <w:szCs w:val="22"/>
              </w:rPr>
              <w:t>20.1</w:t>
            </w:r>
            <w:r w:rsidR="0001587D" w:rsidRPr="0044590F">
              <w:rPr>
                <w:sz w:val="22"/>
                <w:szCs w:val="22"/>
              </w:rPr>
              <w:t xml:space="preserve">/100000 doses </w:t>
            </w:r>
          </w:p>
          <w:p w14:paraId="07D599FC" w14:textId="77777777" w:rsidR="009624AD" w:rsidRPr="0044590F" w:rsidRDefault="5F8BF6E0" w:rsidP="0044590F">
            <w:pPr>
              <w:rPr>
                <w:sz w:val="22"/>
                <w:szCs w:val="22"/>
              </w:rPr>
            </w:pPr>
            <w:r w:rsidRPr="0044590F">
              <w:rPr>
                <w:sz w:val="22"/>
                <w:szCs w:val="22"/>
              </w:rPr>
              <w:t>LC-16</w:t>
            </w:r>
            <w:r w:rsidR="000F3ECF" w:rsidRPr="0044590F">
              <w:rPr>
                <w:sz w:val="22"/>
                <w:szCs w:val="22"/>
              </w:rPr>
              <w:t>, ACAM2000</w:t>
            </w:r>
            <w:r w:rsidRPr="0044590F">
              <w:rPr>
                <w:sz w:val="22"/>
                <w:szCs w:val="22"/>
              </w:rPr>
              <w:t xml:space="preserve"> - </w:t>
            </w:r>
            <w:r w:rsidR="7A2C583D" w:rsidRPr="0044590F">
              <w:rPr>
                <w:sz w:val="22"/>
                <w:szCs w:val="22"/>
              </w:rPr>
              <w:t xml:space="preserve">immunocompromised, pregnant persons, proliferative skin diseases  </w:t>
            </w:r>
          </w:p>
          <w:p w14:paraId="4A8ED058" w14:textId="7DF63478" w:rsidR="0044590F" w:rsidRPr="0044590F" w:rsidRDefault="0044590F" w:rsidP="0044590F">
            <w:pPr>
              <w:rPr>
                <w:sz w:val="22"/>
                <w:szCs w:val="22"/>
              </w:rPr>
            </w:pPr>
            <w:r w:rsidRPr="0044590F">
              <w:rPr>
                <w:sz w:val="22"/>
                <w:szCs w:val="22"/>
              </w:rPr>
              <w:t>ACAM2000 – infants</w:t>
            </w:r>
            <w:r>
              <w:rPr>
                <w:sz w:val="22"/>
                <w:szCs w:val="22"/>
              </w:rPr>
              <w:t xml:space="preserve"> &lt;</w:t>
            </w:r>
            <w:r w:rsidRPr="0044590F">
              <w:rPr>
                <w:sz w:val="22"/>
                <w:szCs w:val="22"/>
              </w:rPr>
              <w:t xml:space="preserve"> 1 yr</w:t>
            </w:r>
          </w:p>
        </w:tc>
        <w:tc>
          <w:tcPr>
            <w:tcW w:w="1306" w:type="dxa"/>
          </w:tcPr>
          <w:p w14:paraId="639BBFDC" w14:textId="77777777" w:rsidR="0044590F" w:rsidRPr="0044590F" w:rsidRDefault="00F4460A" w:rsidP="00780EA1">
            <w:pPr>
              <w:rPr>
                <w:sz w:val="22"/>
                <w:szCs w:val="22"/>
              </w:rPr>
            </w:pPr>
            <w:r w:rsidRPr="0044590F">
              <w:rPr>
                <w:sz w:val="22"/>
                <w:szCs w:val="22"/>
              </w:rPr>
              <w:t>Critical</w:t>
            </w:r>
          </w:p>
          <w:p w14:paraId="6FB02458" w14:textId="77777777" w:rsidR="0044590F" w:rsidRPr="0044590F" w:rsidRDefault="0044590F" w:rsidP="00780EA1">
            <w:pPr>
              <w:rPr>
                <w:sz w:val="22"/>
                <w:szCs w:val="22"/>
              </w:rPr>
            </w:pPr>
          </w:p>
          <w:p w14:paraId="2C5DC292" w14:textId="77777777" w:rsidR="0044590F" w:rsidRPr="0044590F" w:rsidRDefault="0044590F" w:rsidP="00780EA1">
            <w:pPr>
              <w:rPr>
                <w:sz w:val="22"/>
                <w:szCs w:val="22"/>
              </w:rPr>
            </w:pPr>
          </w:p>
          <w:p w14:paraId="5D578B92" w14:textId="13CE39D8" w:rsidR="00E15A3E" w:rsidRPr="0044590F" w:rsidRDefault="00F4460A" w:rsidP="00E15A3E">
            <w:pPr>
              <w:rPr>
                <w:sz w:val="22"/>
                <w:szCs w:val="22"/>
              </w:rPr>
            </w:pPr>
            <w:r w:rsidRPr="0044590F">
              <w:rPr>
                <w:sz w:val="22"/>
                <w:szCs w:val="22"/>
              </w:rPr>
              <w:br/>
            </w:r>
          </w:p>
          <w:p w14:paraId="63DBA6B2" w14:textId="6E1BAC01" w:rsidR="00780EA1" w:rsidRPr="0044590F" w:rsidRDefault="00780EA1" w:rsidP="00780EA1">
            <w:pPr>
              <w:rPr>
                <w:sz w:val="22"/>
                <w:szCs w:val="22"/>
              </w:rPr>
            </w:pPr>
          </w:p>
        </w:tc>
        <w:tc>
          <w:tcPr>
            <w:tcW w:w="2486" w:type="dxa"/>
          </w:tcPr>
          <w:p w14:paraId="3AEAFFEC" w14:textId="2F241B9D" w:rsidR="0044590F" w:rsidRPr="0044590F" w:rsidRDefault="004D7E29" w:rsidP="0044590F">
            <w:pPr>
              <w:rPr>
                <w:sz w:val="22"/>
                <w:szCs w:val="22"/>
              </w:rPr>
            </w:pPr>
            <w:r w:rsidRPr="0044590F">
              <w:rPr>
                <w:sz w:val="22"/>
                <w:szCs w:val="22"/>
              </w:rPr>
              <w:t>WHO SAGE Metanalyses 2022, 2024</w:t>
            </w:r>
            <w:r w:rsidR="00F4460A" w:rsidRPr="0044590F">
              <w:rPr>
                <w:sz w:val="22"/>
                <w:szCs w:val="22"/>
              </w:rPr>
              <w:br/>
            </w:r>
            <w:r w:rsidR="0044590F" w:rsidRPr="0044590F">
              <w:rPr>
                <w:sz w:val="22"/>
                <w:szCs w:val="22"/>
              </w:rPr>
              <w:t xml:space="preserve">Vaccine package inserts </w:t>
            </w:r>
          </w:p>
          <w:p w14:paraId="5EF9C8A4" w14:textId="2727BF84" w:rsidR="00780EA1" w:rsidRPr="0044590F" w:rsidRDefault="00F4460A" w:rsidP="0044590F">
            <w:pPr>
              <w:rPr>
                <w:sz w:val="22"/>
                <w:szCs w:val="22"/>
              </w:rPr>
            </w:pPr>
            <w:r w:rsidRPr="0044590F">
              <w:rPr>
                <w:sz w:val="22"/>
                <w:szCs w:val="22"/>
              </w:rPr>
              <w:t>Country information</w:t>
            </w:r>
          </w:p>
          <w:p w14:paraId="7C96D5A0" w14:textId="30EBBE8C" w:rsidR="0044590F" w:rsidRPr="0044590F" w:rsidRDefault="0044590F" w:rsidP="0044590F">
            <w:pPr>
              <w:rPr>
                <w:sz w:val="22"/>
                <w:szCs w:val="22"/>
              </w:rPr>
            </w:pPr>
          </w:p>
        </w:tc>
      </w:tr>
      <w:tr w:rsidR="00780EA1" w:rsidRPr="00F41E79" w14:paraId="77E4889E" w14:textId="77777777" w:rsidTr="00A17E80">
        <w:trPr>
          <w:cnfStyle w:val="000000100000" w:firstRow="0" w:lastRow="0" w:firstColumn="0" w:lastColumn="0" w:oddVBand="0" w:evenVBand="0" w:oddHBand="1" w:evenHBand="0" w:firstRowFirstColumn="0" w:firstRowLastColumn="0" w:lastRowFirstColumn="0" w:lastRowLastColumn="0"/>
          <w:trHeight w:val="20"/>
        </w:trPr>
        <w:tc>
          <w:tcPr>
            <w:tcW w:w="2073" w:type="dxa"/>
          </w:tcPr>
          <w:p w14:paraId="0A83D799" w14:textId="66F99511" w:rsidR="00780EA1" w:rsidRPr="00987CC9" w:rsidRDefault="00780EA1" w:rsidP="00780EA1">
            <w:pPr>
              <w:ind w:left="432" w:hanging="432"/>
              <w:rPr>
                <w:rFonts w:ascii="Arial" w:hAnsi="Arial" w:cs="Arial"/>
                <w:sz w:val="22"/>
                <w:szCs w:val="22"/>
              </w:rPr>
            </w:pPr>
            <w:r w:rsidRPr="00987CC9">
              <w:rPr>
                <w:sz w:val="22"/>
                <w:szCs w:val="22"/>
              </w:rPr>
              <w:t>2.3</w:t>
            </w:r>
            <w:r w:rsidRPr="00987CC9">
              <w:rPr>
                <w:sz w:val="22"/>
                <w:szCs w:val="22"/>
              </w:rPr>
              <w:tab/>
              <w:t>Efficacy and effectiveness</w:t>
            </w:r>
          </w:p>
        </w:tc>
        <w:tc>
          <w:tcPr>
            <w:tcW w:w="3772" w:type="dxa"/>
          </w:tcPr>
          <w:p w14:paraId="0FD88B97" w14:textId="104C85F2" w:rsidR="00780EA1" w:rsidRDefault="00BC283B" w:rsidP="00485528">
            <w:pPr>
              <w:ind w:left="288" w:hanging="288"/>
              <w:rPr>
                <w:sz w:val="22"/>
                <w:szCs w:val="22"/>
              </w:rPr>
            </w:pPr>
            <w:sdt>
              <w:sdtPr>
                <w:rPr>
                  <w:sz w:val="22"/>
                  <w:szCs w:val="22"/>
                </w:rPr>
                <w:id w:val="-876464586"/>
                <w14:checkbox>
                  <w14:checked w14:val="1"/>
                  <w14:checkedState w14:val="2612" w14:font="MS Gothic"/>
                  <w14:uncheckedState w14:val="2610" w14:font="MS Gothic"/>
                </w14:checkbox>
              </w:sdtPr>
              <w:sdtEndPr/>
              <w:sdtContent>
                <w:r w:rsidR="0044590F">
                  <w:rPr>
                    <w:rFonts w:ascii="MS Gothic" w:eastAsia="MS Gothic" w:hAnsi="MS Gothic" w:hint="eastAsia"/>
                    <w:sz w:val="22"/>
                    <w:szCs w:val="22"/>
                  </w:rPr>
                  <w:t>☒</w:t>
                </w:r>
              </w:sdtContent>
            </w:sdt>
            <w:r w:rsidR="00485528" w:rsidRPr="009624AD">
              <w:rPr>
                <w:sz w:val="22"/>
                <w:szCs w:val="22"/>
              </w:rPr>
              <w:tab/>
            </w:r>
            <w:r w:rsidR="00505890" w:rsidRPr="009624AD">
              <w:rPr>
                <w:sz w:val="22"/>
                <w:szCs w:val="22"/>
              </w:rPr>
              <w:t xml:space="preserve">Vaccine efficacy/effectiveness and types of specific </w:t>
            </w:r>
            <w:r w:rsidR="0044590F">
              <w:rPr>
                <w:sz w:val="22"/>
                <w:szCs w:val="22"/>
              </w:rPr>
              <w:br/>
            </w:r>
            <w:r w:rsidR="0044590F">
              <w:rPr>
                <w:sz w:val="22"/>
                <w:szCs w:val="22"/>
              </w:rPr>
              <w:br/>
            </w:r>
          </w:p>
          <w:p w14:paraId="62BB5221" w14:textId="77777777" w:rsidR="0044590F" w:rsidRPr="009624AD" w:rsidRDefault="0044590F" w:rsidP="00485528">
            <w:pPr>
              <w:ind w:left="288" w:hanging="288"/>
              <w:rPr>
                <w:sz w:val="22"/>
                <w:szCs w:val="22"/>
              </w:rPr>
            </w:pPr>
          </w:p>
          <w:p w14:paraId="016FCE3D" w14:textId="5048DD22" w:rsidR="00780EA1" w:rsidRDefault="00BC283B" w:rsidP="00485528">
            <w:pPr>
              <w:ind w:left="288" w:hanging="288"/>
              <w:rPr>
                <w:sz w:val="22"/>
                <w:szCs w:val="22"/>
              </w:rPr>
            </w:pPr>
            <w:sdt>
              <w:sdtPr>
                <w:rPr>
                  <w:sz w:val="22"/>
                  <w:szCs w:val="22"/>
                </w:rPr>
                <w:id w:val="-28727339"/>
                <w14:checkbox>
                  <w14:checked w14:val="1"/>
                  <w14:checkedState w14:val="2612" w14:font="MS Gothic"/>
                  <w14:uncheckedState w14:val="2610" w14:font="MS Gothic"/>
                </w14:checkbox>
              </w:sdtPr>
              <w:sdtEndPr/>
              <w:sdtContent>
                <w:r w:rsidR="0044590F">
                  <w:rPr>
                    <w:rFonts w:ascii="MS Gothic" w:eastAsia="MS Gothic" w:hAnsi="MS Gothic" w:hint="eastAsia"/>
                    <w:sz w:val="22"/>
                    <w:szCs w:val="22"/>
                  </w:rPr>
                  <w:t>☒</w:t>
                </w:r>
              </w:sdtContent>
            </w:sdt>
            <w:r w:rsidR="00485528" w:rsidRPr="009624AD">
              <w:rPr>
                <w:sz w:val="22"/>
                <w:szCs w:val="22"/>
              </w:rPr>
              <w:tab/>
            </w:r>
            <w:r w:rsidR="00780EA1" w:rsidRPr="009624AD">
              <w:rPr>
                <w:sz w:val="22"/>
                <w:szCs w:val="22"/>
              </w:rPr>
              <w:t>Critical determinants of the immune response associated with protection</w:t>
            </w:r>
          </w:p>
          <w:p w14:paraId="330D3681" w14:textId="75F1EAC7" w:rsidR="008A240E" w:rsidRDefault="0044590F" w:rsidP="00485528">
            <w:pPr>
              <w:ind w:left="288" w:hanging="288"/>
              <w:rPr>
                <w:sz w:val="22"/>
                <w:szCs w:val="22"/>
              </w:rPr>
            </w:pPr>
            <w:r>
              <w:rPr>
                <w:sz w:val="22"/>
                <w:szCs w:val="22"/>
              </w:rPr>
              <w:br/>
            </w:r>
          </w:p>
          <w:p w14:paraId="5CC8D205" w14:textId="1149F251" w:rsidR="00EF25F2" w:rsidRDefault="00EF25F2" w:rsidP="00485528">
            <w:pPr>
              <w:ind w:left="288" w:hanging="288"/>
              <w:rPr>
                <w:sz w:val="22"/>
                <w:szCs w:val="22"/>
              </w:rPr>
            </w:pPr>
          </w:p>
          <w:p w14:paraId="5CE1D79A" w14:textId="0CC16F13" w:rsidR="00EF25F2" w:rsidRDefault="00EF25F2" w:rsidP="00485528">
            <w:pPr>
              <w:ind w:left="288" w:hanging="288"/>
              <w:rPr>
                <w:sz w:val="22"/>
                <w:szCs w:val="22"/>
              </w:rPr>
            </w:pPr>
          </w:p>
          <w:p w14:paraId="73CEE0A6" w14:textId="77777777" w:rsidR="00EF25F2" w:rsidRDefault="00EF25F2" w:rsidP="00485528">
            <w:pPr>
              <w:ind w:left="288" w:hanging="288"/>
              <w:rPr>
                <w:sz w:val="22"/>
                <w:szCs w:val="22"/>
              </w:rPr>
            </w:pPr>
          </w:p>
          <w:p w14:paraId="29C6E618" w14:textId="77777777" w:rsidR="008A240E" w:rsidRPr="009624AD" w:rsidRDefault="008A240E" w:rsidP="00485528">
            <w:pPr>
              <w:ind w:left="288" w:hanging="288"/>
              <w:rPr>
                <w:sz w:val="22"/>
                <w:szCs w:val="22"/>
              </w:rPr>
            </w:pPr>
          </w:p>
          <w:p w14:paraId="3947BE58" w14:textId="7313BE2E" w:rsidR="00780EA1" w:rsidRPr="009624AD" w:rsidRDefault="00BC283B" w:rsidP="00485528">
            <w:pPr>
              <w:ind w:left="288" w:hanging="288"/>
              <w:rPr>
                <w:sz w:val="22"/>
                <w:szCs w:val="22"/>
              </w:rPr>
            </w:pPr>
            <w:sdt>
              <w:sdtPr>
                <w:rPr>
                  <w:sz w:val="22"/>
                  <w:szCs w:val="22"/>
                </w:rPr>
                <w:id w:val="1410204486"/>
                <w14:checkbox>
                  <w14:checked w14:val="1"/>
                  <w14:checkedState w14:val="2612" w14:font="MS Gothic"/>
                  <w14:uncheckedState w14:val="2610" w14:font="MS Gothic"/>
                </w14:checkbox>
              </w:sdtPr>
              <w:sdtEndPr/>
              <w:sdtContent>
                <w:r w:rsidR="0044590F">
                  <w:rPr>
                    <w:rFonts w:ascii="MS Gothic" w:eastAsia="MS Gothic" w:hAnsi="MS Gothic" w:hint="eastAsia"/>
                    <w:sz w:val="22"/>
                    <w:szCs w:val="22"/>
                  </w:rPr>
                  <w:t>☒</w:t>
                </w:r>
              </w:sdtContent>
            </w:sdt>
            <w:r w:rsidR="00485528" w:rsidRPr="009624AD">
              <w:rPr>
                <w:sz w:val="22"/>
                <w:szCs w:val="22"/>
              </w:rPr>
              <w:tab/>
            </w:r>
            <w:r w:rsidR="00780EA1" w:rsidRPr="009624AD">
              <w:rPr>
                <w:sz w:val="22"/>
                <w:szCs w:val="22"/>
              </w:rPr>
              <w:t>Duration of protection and waning of immunity in general and risk groups</w:t>
            </w:r>
            <w:r w:rsidR="0001587D">
              <w:rPr>
                <w:sz w:val="22"/>
                <w:szCs w:val="22"/>
              </w:rPr>
              <w:br/>
            </w:r>
          </w:p>
          <w:p w14:paraId="414ABB71" w14:textId="6E5F929B" w:rsidR="00780EA1" w:rsidRPr="009624AD" w:rsidRDefault="00BC283B" w:rsidP="00485528">
            <w:pPr>
              <w:ind w:left="288" w:hanging="288"/>
              <w:rPr>
                <w:sz w:val="22"/>
                <w:szCs w:val="22"/>
              </w:rPr>
            </w:pPr>
            <w:sdt>
              <w:sdtPr>
                <w:rPr>
                  <w:sz w:val="22"/>
                  <w:szCs w:val="22"/>
                </w:rPr>
                <w:id w:val="-1764140547"/>
                <w14:checkbox>
                  <w14:checked w14:val="1"/>
                  <w14:checkedState w14:val="2612" w14:font="MS Gothic"/>
                  <w14:uncheckedState w14:val="2610" w14:font="MS Gothic"/>
                </w14:checkbox>
              </w:sdtPr>
              <w:sdtEndPr/>
              <w:sdtContent>
                <w:r w:rsidR="0044590F">
                  <w:rPr>
                    <w:rFonts w:ascii="MS Gothic" w:eastAsia="MS Gothic" w:hAnsi="MS Gothic" w:hint="eastAsia"/>
                    <w:sz w:val="22"/>
                    <w:szCs w:val="22"/>
                  </w:rPr>
                  <w:t>☒</w:t>
                </w:r>
              </w:sdtContent>
            </w:sdt>
            <w:r w:rsidR="00485528" w:rsidRPr="009624AD">
              <w:rPr>
                <w:sz w:val="22"/>
                <w:szCs w:val="22"/>
              </w:rPr>
              <w:tab/>
            </w:r>
            <w:r w:rsidR="00780EA1" w:rsidRPr="009624AD">
              <w:rPr>
                <w:sz w:val="22"/>
                <w:szCs w:val="22"/>
              </w:rPr>
              <w:t>Interference regarding protection or immunity with other vaccines</w:t>
            </w:r>
          </w:p>
        </w:tc>
        <w:tc>
          <w:tcPr>
            <w:tcW w:w="4634" w:type="dxa"/>
          </w:tcPr>
          <w:p w14:paraId="2812C0C4" w14:textId="7EBC60EC" w:rsidR="00EF25F2" w:rsidRPr="002074E8" w:rsidRDefault="63C084E2" w:rsidP="53C6BD78">
            <w:pPr>
              <w:rPr>
                <w:sz w:val="22"/>
                <w:szCs w:val="22"/>
              </w:rPr>
            </w:pPr>
            <w:r w:rsidRPr="53C6BD78">
              <w:rPr>
                <w:sz w:val="22"/>
                <w:szCs w:val="22"/>
              </w:rPr>
              <w:t xml:space="preserve">MVM-BN , ACAM2000 </w:t>
            </w:r>
            <w:r w:rsidR="5FC7A90B" w:rsidRPr="53C6BD78">
              <w:rPr>
                <w:sz w:val="22"/>
                <w:szCs w:val="22"/>
              </w:rPr>
              <w:t xml:space="preserve">, LC16 </w:t>
            </w:r>
            <w:r w:rsidR="2D06FFE8" w:rsidRPr="53C6BD78">
              <w:rPr>
                <w:sz w:val="22"/>
                <w:szCs w:val="22"/>
              </w:rPr>
              <w:t>efficacy</w:t>
            </w:r>
            <w:r w:rsidR="3D227294" w:rsidRPr="53C6BD78">
              <w:rPr>
                <w:sz w:val="22"/>
                <w:szCs w:val="22"/>
              </w:rPr>
              <w:t xml:space="preserve">, </w:t>
            </w:r>
            <w:r w:rsidR="110888AD" w:rsidRPr="53C6BD78">
              <w:rPr>
                <w:sz w:val="22"/>
                <w:szCs w:val="22"/>
              </w:rPr>
              <w:t>effectiveness for</w:t>
            </w:r>
            <w:r w:rsidR="3D227294" w:rsidRPr="53C6BD78">
              <w:rPr>
                <w:sz w:val="22"/>
                <w:szCs w:val="22"/>
              </w:rPr>
              <w:t xml:space="preserve"> primary preventive </w:t>
            </w:r>
            <w:r w:rsidR="53E209A7" w:rsidRPr="53C6BD78">
              <w:rPr>
                <w:sz w:val="22"/>
                <w:szCs w:val="22"/>
              </w:rPr>
              <w:t>vaccination for</w:t>
            </w:r>
            <w:r w:rsidR="3D227294" w:rsidRPr="53C6BD78">
              <w:rPr>
                <w:sz w:val="22"/>
                <w:szCs w:val="22"/>
              </w:rPr>
              <w:t xml:space="preserve"> </w:t>
            </w:r>
            <w:r w:rsidR="7E9E1C3F" w:rsidRPr="53C6BD78">
              <w:rPr>
                <w:sz w:val="22"/>
                <w:szCs w:val="22"/>
              </w:rPr>
              <w:t>high-risk</w:t>
            </w:r>
            <w:r w:rsidR="3D227294" w:rsidRPr="53C6BD78">
              <w:rPr>
                <w:sz w:val="22"/>
                <w:szCs w:val="22"/>
              </w:rPr>
              <w:t xml:space="preserve"> population</w:t>
            </w:r>
            <w:r w:rsidR="65A1AC27" w:rsidRPr="53C6BD78">
              <w:rPr>
                <w:sz w:val="22"/>
                <w:szCs w:val="22"/>
              </w:rPr>
              <w:t xml:space="preserve"> of exposure</w:t>
            </w:r>
            <w:r w:rsidR="1E20DDDD" w:rsidRPr="53C6BD78">
              <w:rPr>
                <w:sz w:val="22"/>
                <w:szCs w:val="22"/>
              </w:rPr>
              <w:t xml:space="preserve"> (by age, previous vaccination with Small pox vaccine</w:t>
            </w:r>
            <w:r w:rsidR="00EF25F2">
              <w:rPr>
                <w:sz w:val="22"/>
                <w:szCs w:val="22"/>
              </w:rPr>
              <w:t>)</w:t>
            </w:r>
          </w:p>
          <w:p w14:paraId="4FB8AD06" w14:textId="77777777" w:rsidR="00EF25F2" w:rsidRDefault="73C567E2" w:rsidP="00EF25F2">
            <w:pPr>
              <w:rPr>
                <w:sz w:val="22"/>
                <w:szCs w:val="22"/>
              </w:rPr>
            </w:pPr>
            <w:r w:rsidRPr="53C6BD78">
              <w:rPr>
                <w:sz w:val="22"/>
                <w:szCs w:val="22"/>
              </w:rPr>
              <w:t>Determi</w:t>
            </w:r>
            <w:r w:rsidR="334516BE" w:rsidRPr="53C6BD78">
              <w:rPr>
                <w:sz w:val="22"/>
                <w:szCs w:val="22"/>
              </w:rPr>
              <w:t>n</w:t>
            </w:r>
            <w:r w:rsidRPr="53C6BD78">
              <w:rPr>
                <w:sz w:val="22"/>
                <w:szCs w:val="22"/>
              </w:rPr>
              <w:t>ant</w:t>
            </w:r>
            <w:r w:rsidR="0044590F">
              <w:rPr>
                <w:sz w:val="22"/>
                <w:szCs w:val="22"/>
              </w:rPr>
              <w:t>s</w:t>
            </w:r>
            <w:r w:rsidRPr="53C6BD78">
              <w:rPr>
                <w:sz w:val="22"/>
                <w:szCs w:val="22"/>
              </w:rPr>
              <w:t xml:space="preserve"> o</w:t>
            </w:r>
            <w:r w:rsidR="0044590F">
              <w:rPr>
                <w:sz w:val="22"/>
                <w:szCs w:val="22"/>
              </w:rPr>
              <w:t>f</w:t>
            </w:r>
            <w:r w:rsidRPr="53C6BD78">
              <w:rPr>
                <w:sz w:val="22"/>
                <w:szCs w:val="22"/>
              </w:rPr>
              <w:t xml:space="preserve"> vaccine </w:t>
            </w:r>
            <w:r w:rsidR="36957A96" w:rsidRPr="53C6BD78">
              <w:rPr>
                <w:sz w:val="22"/>
                <w:szCs w:val="22"/>
              </w:rPr>
              <w:t>efficacy</w:t>
            </w:r>
            <w:r w:rsidRPr="53C6BD78">
              <w:rPr>
                <w:sz w:val="22"/>
                <w:szCs w:val="22"/>
              </w:rPr>
              <w:t xml:space="preserve"> and effectiveness</w:t>
            </w:r>
            <w:r w:rsidR="0C2C7827" w:rsidRPr="53C6BD78">
              <w:rPr>
                <w:sz w:val="22"/>
                <w:szCs w:val="22"/>
              </w:rPr>
              <w:t xml:space="preserve"> in population</w:t>
            </w:r>
            <w:r w:rsidR="0044590F">
              <w:rPr>
                <w:sz w:val="22"/>
                <w:szCs w:val="22"/>
              </w:rPr>
              <w:t>s</w:t>
            </w:r>
            <w:r w:rsidR="0C2C7827" w:rsidRPr="53C6BD78">
              <w:rPr>
                <w:sz w:val="22"/>
                <w:szCs w:val="22"/>
              </w:rPr>
              <w:t xml:space="preserve"> with underlying conditions such as immunocompromised, malnutrition,</w:t>
            </w:r>
            <w:r w:rsidR="50129558" w:rsidRPr="53C6BD78">
              <w:rPr>
                <w:sz w:val="22"/>
                <w:szCs w:val="22"/>
              </w:rPr>
              <w:t xml:space="preserve"> pregnant women</w:t>
            </w:r>
            <w:r w:rsidR="0C2C7827" w:rsidRPr="53C6BD78">
              <w:rPr>
                <w:sz w:val="22"/>
                <w:szCs w:val="22"/>
              </w:rPr>
              <w:t xml:space="preserve"> ...]</w:t>
            </w:r>
          </w:p>
          <w:p w14:paraId="7A547B59" w14:textId="665ACA5C" w:rsidR="00780EA1" w:rsidRPr="002074E8" w:rsidRDefault="00EF25F2" w:rsidP="53C6BD78">
            <w:pPr>
              <w:rPr>
                <w:sz w:val="22"/>
                <w:szCs w:val="22"/>
              </w:rPr>
            </w:pPr>
            <w:r w:rsidRPr="53C6BD78">
              <w:rPr>
                <w:sz w:val="22"/>
                <w:szCs w:val="22"/>
              </w:rPr>
              <w:t>Efficacy and effectiveness when co-administrated with other vaccines (YF, MR, DPT booster)</w:t>
            </w:r>
          </w:p>
          <w:p w14:paraId="19B0B047" w14:textId="4B16BFCE" w:rsidR="00780EA1" w:rsidRPr="002074E8" w:rsidRDefault="489D8856" w:rsidP="53C6BD78">
            <w:pPr>
              <w:rPr>
                <w:sz w:val="22"/>
                <w:szCs w:val="22"/>
              </w:rPr>
            </w:pPr>
            <w:r w:rsidRPr="53C6BD78">
              <w:rPr>
                <w:sz w:val="22"/>
                <w:szCs w:val="22"/>
              </w:rPr>
              <w:t xml:space="preserve">Duration of protection and waning of protection in high risk population </w:t>
            </w:r>
          </w:p>
          <w:p w14:paraId="535269B3" w14:textId="77777777" w:rsidR="0001587D" w:rsidRDefault="008A240E" w:rsidP="00780EA1">
            <w:pPr>
              <w:rPr>
                <w:sz w:val="22"/>
                <w:szCs w:val="22"/>
              </w:rPr>
            </w:pPr>
            <w:r>
              <w:rPr>
                <w:sz w:val="22"/>
                <w:szCs w:val="22"/>
              </w:rPr>
              <w:t>Efficacy only shown for 12 + months; neutralizing  antibodies persist many years</w:t>
            </w:r>
          </w:p>
          <w:p w14:paraId="6B05A84D" w14:textId="2264219E" w:rsidR="008A240E" w:rsidRPr="009624AD" w:rsidRDefault="0001587D" w:rsidP="00780EA1">
            <w:pPr>
              <w:rPr>
                <w:sz w:val="22"/>
                <w:szCs w:val="22"/>
              </w:rPr>
            </w:pPr>
            <w:r w:rsidRPr="53C6BD78">
              <w:rPr>
                <w:sz w:val="22"/>
                <w:szCs w:val="22"/>
              </w:rPr>
              <w:t>Booster doses q. 2-5 yrs depending on exposure</w:t>
            </w:r>
            <w:r w:rsidR="7A2C583D" w:rsidRPr="53C6BD78">
              <w:rPr>
                <w:sz w:val="22"/>
                <w:szCs w:val="22"/>
              </w:rPr>
              <w:t xml:space="preserve">. </w:t>
            </w:r>
          </w:p>
        </w:tc>
        <w:tc>
          <w:tcPr>
            <w:tcW w:w="1306" w:type="dxa"/>
          </w:tcPr>
          <w:p w14:paraId="53169266" w14:textId="079B7923" w:rsidR="00780EA1" w:rsidRPr="009624AD" w:rsidRDefault="00F4460A" w:rsidP="00E15A3E">
            <w:pPr>
              <w:rPr>
                <w:sz w:val="22"/>
                <w:szCs w:val="22"/>
              </w:rPr>
            </w:pPr>
            <w:r>
              <w:rPr>
                <w:sz w:val="22"/>
                <w:szCs w:val="22"/>
              </w:rPr>
              <w:t>Critical</w:t>
            </w:r>
            <w:r w:rsidR="00EF25F2">
              <w:rPr>
                <w:sz w:val="22"/>
                <w:szCs w:val="22"/>
              </w:rPr>
              <w:br/>
            </w:r>
            <w:r w:rsidR="00EF25F2">
              <w:rPr>
                <w:sz w:val="22"/>
                <w:szCs w:val="22"/>
              </w:rPr>
              <w:br/>
            </w:r>
            <w:r w:rsidR="00EF25F2">
              <w:rPr>
                <w:sz w:val="22"/>
                <w:szCs w:val="22"/>
              </w:rPr>
              <w:br/>
            </w:r>
            <w:r w:rsidR="00EF25F2">
              <w:rPr>
                <w:sz w:val="22"/>
                <w:szCs w:val="22"/>
              </w:rPr>
              <w:br/>
            </w:r>
            <w:r>
              <w:rPr>
                <w:sz w:val="22"/>
                <w:szCs w:val="22"/>
              </w:rPr>
              <w:br/>
            </w:r>
          </w:p>
        </w:tc>
        <w:tc>
          <w:tcPr>
            <w:tcW w:w="2486" w:type="dxa"/>
          </w:tcPr>
          <w:p w14:paraId="6F86563A" w14:textId="6D4B88CA" w:rsidR="00EF25F2" w:rsidRDefault="00EF25F2" w:rsidP="0001587D">
            <w:pPr>
              <w:rPr>
                <w:sz w:val="22"/>
                <w:szCs w:val="22"/>
              </w:rPr>
            </w:pPr>
            <w:r>
              <w:rPr>
                <w:sz w:val="22"/>
                <w:szCs w:val="22"/>
              </w:rPr>
              <w:t>WHO SAGE recommendations</w:t>
            </w:r>
          </w:p>
          <w:p w14:paraId="09C8648B" w14:textId="77777777" w:rsidR="00780EA1" w:rsidRDefault="008A240E" w:rsidP="0001587D">
            <w:pPr>
              <w:rPr>
                <w:sz w:val="22"/>
                <w:szCs w:val="22"/>
              </w:rPr>
            </w:pPr>
            <w:r>
              <w:rPr>
                <w:sz w:val="22"/>
                <w:szCs w:val="22"/>
              </w:rPr>
              <w:t>Metanalys</w:t>
            </w:r>
            <w:r w:rsidR="0001587D">
              <w:rPr>
                <w:sz w:val="22"/>
                <w:szCs w:val="22"/>
              </w:rPr>
              <w:t>e</w:t>
            </w:r>
            <w:r>
              <w:rPr>
                <w:sz w:val="22"/>
                <w:szCs w:val="22"/>
              </w:rPr>
              <w:t>s for SAGE</w:t>
            </w:r>
          </w:p>
          <w:p w14:paraId="656BCC56" w14:textId="673A3FE7" w:rsidR="00EF25F2" w:rsidRPr="002074E8" w:rsidRDefault="00EF25F2" w:rsidP="00EF25F2">
            <w:pPr>
              <w:rPr>
                <w:sz w:val="22"/>
                <w:szCs w:val="22"/>
              </w:rPr>
            </w:pPr>
            <w:r w:rsidRPr="53C6BD78">
              <w:rPr>
                <w:sz w:val="22"/>
                <w:szCs w:val="22"/>
              </w:rPr>
              <w:t>MVA-BN – pre-exposure – 76</w:t>
            </w:r>
            <w:r>
              <w:rPr>
                <w:sz w:val="22"/>
                <w:szCs w:val="22"/>
              </w:rPr>
              <w:t xml:space="preserve"> % (1 dose), </w:t>
            </w:r>
            <w:r w:rsidRPr="53C6BD78">
              <w:rPr>
                <w:sz w:val="22"/>
                <w:szCs w:val="22"/>
              </w:rPr>
              <w:t xml:space="preserve">82% (2 doses); post-exposure – 20% </w:t>
            </w:r>
          </w:p>
          <w:p w14:paraId="738AF2A1" w14:textId="77777777" w:rsidR="00EF25F2" w:rsidRDefault="00EF25F2" w:rsidP="00EF25F2">
            <w:pPr>
              <w:rPr>
                <w:sz w:val="22"/>
                <w:szCs w:val="22"/>
              </w:rPr>
            </w:pPr>
            <w:r>
              <w:rPr>
                <w:sz w:val="22"/>
                <w:szCs w:val="22"/>
              </w:rPr>
              <w:t>Immunocompromise – 51-70% efficacy</w:t>
            </w:r>
          </w:p>
          <w:p w14:paraId="6C6748CF" w14:textId="77777777" w:rsidR="00E15A3E" w:rsidRDefault="00E15A3E" w:rsidP="00EF25F2">
            <w:pPr>
              <w:rPr>
                <w:sz w:val="22"/>
                <w:szCs w:val="22"/>
              </w:rPr>
            </w:pPr>
          </w:p>
          <w:p w14:paraId="348B0034" w14:textId="129A0976" w:rsidR="00EF25F2" w:rsidRDefault="00EF25F2" w:rsidP="00EF25F2">
            <w:pPr>
              <w:rPr>
                <w:sz w:val="22"/>
                <w:szCs w:val="22"/>
              </w:rPr>
            </w:pPr>
            <w:r>
              <w:rPr>
                <w:sz w:val="22"/>
                <w:szCs w:val="22"/>
              </w:rPr>
              <w:t>LC-16</w:t>
            </w:r>
            <w:r w:rsidR="00E15A3E">
              <w:rPr>
                <w:sz w:val="22"/>
                <w:szCs w:val="22"/>
              </w:rPr>
              <w:t>, ACAM2000</w:t>
            </w:r>
            <w:r>
              <w:rPr>
                <w:sz w:val="22"/>
                <w:szCs w:val="22"/>
              </w:rPr>
              <w:t xml:space="preserve"> – protective in non-human primates; neutralizing antibody in 95% (naïve, 80-95% previously vaccinated</w:t>
            </w:r>
          </w:p>
          <w:p w14:paraId="23FB39C9" w14:textId="12596019" w:rsidR="00EF25F2" w:rsidRPr="009624AD" w:rsidRDefault="00EF25F2" w:rsidP="0001587D">
            <w:pPr>
              <w:rPr>
                <w:sz w:val="22"/>
                <w:szCs w:val="22"/>
              </w:rPr>
            </w:pPr>
          </w:p>
        </w:tc>
      </w:tr>
      <w:tr w:rsidR="00780EA1" w:rsidRPr="00F41E79" w14:paraId="650E8D55" w14:textId="77777777" w:rsidTr="00A17E80">
        <w:trPr>
          <w:trHeight w:val="20"/>
        </w:trPr>
        <w:tc>
          <w:tcPr>
            <w:tcW w:w="2073" w:type="dxa"/>
          </w:tcPr>
          <w:p w14:paraId="155A02DF" w14:textId="3267CFB7" w:rsidR="00780EA1" w:rsidRPr="00987CC9" w:rsidRDefault="00780EA1" w:rsidP="00987CC9">
            <w:pPr>
              <w:ind w:left="432" w:hanging="432"/>
              <w:rPr>
                <w:rFonts w:ascii="Arial" w:hAnsi="Arial" w:cs="Arial"/>
                <w:sz w:val="22"/>
                <w:szCs w:val="22"/>
              </w:rPr>
            </w:pPr>
            <w:r w:rsidRPr="00987CC9">
              <w:rPr>
                <w:sz w:val="22"/>
                <w:szCs w:val="22"/>
              </w:rPr>
              <w:t>2.4</w:t>
            </w:r>
            <w:r w:rsidRPr="00987CC9">
              <w:rPr>
                <w:sz w:val="22"/>
                <w:szCs w:val="22"/>
              </w:rPr>
              <w:tab/>
              <w:t>Vaccine indirect effects  </w:t>
            </w:r>
          </w:p>
        </w:tc>
        <w:tc>
          <w:tcPr>
            <w:tcW w:w="3772" w:type="dxa"/>
          </w:tcPr>
          <w:p w14:paraId="36C68A55" w14:textId="0AA538AD" w:rsidR="00780EA1" w:rsidRPr="009624AD" w:rsidRDefault="00BC283B" w:rsidP="00485528">
            <w:pPr>
              <w:ind w:left="288" w:hanging="288"/>
              <w:rPr>
                <w:sz w:val="22"/>
                <w:szCs w:val="22"/>
              </w:rPr>
            </w:pPr>
            <w:sdt>
              <w:sdtPr>
                <w:rPr>
                  <w:sz w:val="22"/>
                  <w:szCs w:val="22"/>
                </w:rPr>
                <w:id w:val="-610892473"/>
                <w14:checkbox>
                  <w14:checked w14:val="0"/>
                  <w14:checkedState w14:val="2612" w14:font="MS Gothic"/>
                  <w14:uncheckedState w14:val="2610" w14:font="MS Gothic"/>
                </w14:checkbox>
              </w:sdtPr>
              <w:sdtEndPr/>
              <w:sdtContent>
                <w:r w:rsidR="00780EA1" w:rsidRPr="009624AD">
                  <w:rPr>
                    <w:rFonts w:ascii="Segoe UI Symbol" w:hAnsi="Segoe UI Symbol" w:cs="Segoe UI Symbol"/>
                    <w:sz w:val="22"/>
                    <w:szCs w:val="22"/>
                  </w:rPr>
                  <w:t>☐</w:t>
                </w:r>
              </w:sdtContent>
            </w:sdt>
            <w:r w:rsidR="00485528" w:rsidRPr="009624AD">
              <w:rPr>
                <w:sz w:val="22"/>
                <w:szCs w:val="22"/>
              </w:rPr>
              <w:tab/>
            </w:r>
            <w:r w:rsidR="00780EA1" w:rsidRPr="009624AD">
              <w:rPr>
                <w:sz w:val="22"/>
                <w:szCs w:val="22"/>
              </w:rPr>
              <w:t>Herd immunity/protection</w:t>
            </w:r>
          </w:p>
          <w:p w14:paraId="392CE706" w14:textId="53B05608" w:rsidR="00780EA1" w:rsidRPr="009624AD" w:rsidRDefault="00BC283B" w:rsidP="00485528">
            <w:pPr>
              <w:ind w:left="288" w:hanging="288"/>
              <w:rPr>
                <w:sz w:val="22"/>
                <w:szCs w:val="22"/>
              </w:rPr>
            </w:pPr>
            <w:sdt>
              <w:sdtPr>
                <w:rPr>
                  <w:sz w:val="22"/>
                  <w:szCs w:val="22"/>
                </w:rPr>
                <w:id w:val="1972866967"/>
                <w14:checkbox>
                  <w14:checked w14:val="0"/>
                  <w14:checkedState w14:val="2612" w14:font="MS Gothic"/>
                  <w14:uncheckedState w14:val="2610" w14:font="MS Gothic"/>
                </w14:checkbox>
              </w:sdtPr>
              <w:sdtEndPr/>
              <w:sdtContent>
                <w:r w:rsidR="00780EA1" w:rsidRPr="009624AD">
                  <w:rPr>
                    <w:rFonts w:ascii="Segoe UI Symbol" w:hAnsi="Segoe UI Symbol" w:cs="Segoe UI Symbol"/>
                    <w:sz w:val="22"/>
                    <w:szCs w:val="22"/>
                  </w:rPr>
                  <w:t>☐</w:t>
                </w:r>
              </w:sdtContent>
            </w:sdt>
            <w:r w:rsidR="00485528" w:rsidRPr="009624AD">
              <w:rPr>
                <w:sz w:val="22"/>
                <w:szCs w:val="22"/>
              </w:rPr>
              <w:tab/>
            </w:r>
            <w:r w:rsidR="00780EA1" w:rsidRPr="009624AD">
              <w:rPr>
                <w:sz w:val="22"/>
                <w:szCs w:val="22"/>
              </w:rPr>
              <w:t>Potential negative population impact of emergence of non-vaccine serotypes</w:t>
            </w:r>
          </w:p>
        </w:tc>
        <w:tc>
          <w:tcPr>
            <w:tcW w:w="4634" w:type="dxa"/>
          </w:tcPr>
          <w:p w14:paraId="51A78179" w14:textId="77777777" w:rsidR="00780EA1" w:rsidRDefault="008A240E" w:rsidP="00780EA1">
            <w:pPr>
              <w:rPr>
                <w:sz w:val="22"/>
                <w:szCs w:val="22"/>
              </w:rPr>
            </w:pPr>
            <w:r>
              <w:rPr>
                <w:sz w:val="22"/>
                <w:szCs w:val="22"/>
              </w:rPr>
              <w:t>TBD</w:t>
            </w:r>
          </w:p>
          <w:p w14:paraId="0AA7ABFF" w14:textId="583285C7" w:rsidR="008A240E" w:rsidRPr="009624AD" w:rsidRDefault="008A240E" w:rsidP="00780EA1">
            <w:pPr>
              <w:rPr>
                <w:sz w:val="22"/>
                <w:szCs w:val="22"/>
              </w:rPr>
            </w:pPr>
          </w:p>
        </w:tc>
        <w:tc>
          <w:tcPr>
            <w:tcW w:w="1306" w:type="dxa"/>
          </w:tcPr>
          <w:p w14:paraId="5D7E0ECE" w14:textId="77777777" w:rsidR="00780EA1" w:rsidRPr="009624AD" w:rsidRDefault="00780EA1" w:rsidP="00780EA1">
            <w:pPr>
              <w:rPr>
                <w:sz w:val="22"/>
                <w:szCs w:val="22"/>
              </w:rPr>
            </w:pPr>
          </w:p>
        </w:tc>
        <w:tc>
          <w:tcPr>
            <w:tcW w:w="2486" w:type="dxa"/>
          </w:tcPr>
          <w:p w14:paraId="480AE561" w14:textId="77777777" w:rsidR="00780EA1" w:rsidRPr="009624AD" w:rsidRDefault="00780EA1" w:rsidP="00780EA1">
            <w:pPr>
              <w:rPr>
                <w:sz w:val="22"/>
                <w:szCs w:val="22"/>
              </w:rPr>
            </w:pPr>
          </w:p>
        </w:tc>
      </w:tr>
    </w:tbl>
    <w:p w14:paraId="62102390" w14:textId="3DDDBB62" w:rsidR="00780EA1" w:rsidRDefault="00780EA1" w:rsidP="00BF1E52"/>
    <w:p w14:paraId="634983E8" w14:textId="77777777" w:rsidR="00EF25F2" w:rsidRDefault="00EF25F2" w:rsidP="00223F71">
      <w:pPr>
        <w:rPr>
          <w:b/>
          <w:bCs/>
          <w:i/>
          <w:iCs/>
        </w:rPr>
      </w:pPr>
    </w:p>
    <w:p w14:paraId="038D6D7E" w14:textId="77777777" w:rsidR="00EF25F2" w:rsidRDefault="00EF25F2" w:rsidP="00223F71">
      <w:pPr>
        <w:rPr>
          <w:b/>
          <w:bCs/>
          <w:i/>
          <w:iCs/>
        </w:rPr>
      </w:pPr>
    </w:p>
    <w:p w14:paraId="300F9E5A" w14:textId="77777777" w:rsidR="00EF25F2" w:rsidRDefault="00EF25F2" w:rsidP="00223F71">
      <w:pPr>
        <w:rPr>
          <w:b/>
          <w:bCs/>
          <w:i/>
          <w:iCs/>
        </w:rPr>
      </w:pPr>
    </w:p>
    <w:p w14:paraId="5AF9FF4B" w14:textId="77777777" w:rsidR="00627BFF" w:rsidRDefault="00627BFF" w:rsidP="00223F71">
      <w:pPr>
        <w:rPr>
          <w:b/>
          <w:bCs/>
          <w:i/>
          <w:iCs/>
        </w:rPr>
      </w:pPr>
    </w:p>
    <w:p w14:paraId="07C55C88" w14:textId="6434DC72" w:rsidR="00223F71" w:rsidRPr="006D0A39" w:rsidRDefault="00223F71" w:rsidP="00223F71">
      <w:pPr>
        <w:rPr>
          <w:b/>
          <w:bCs/>
          <w:i/>
          <w:iCs/>
        </w:rPr>
      </w:pPr>
      <w:r w:rsidRPr="006D0A39">
        <w:rPr>
          <w:b/>
          <w:bCs/>
          <w:i/>
          <w:iCs/>
        </w:rPr>
        <w:lastRenderedPageBreak/>
        <w:t>PICO Question</w:t>
      </w:r>
      <w:r w:rsidRPr="003F3A4E">
        <w:rPr>
          <w:b/>
          <w:bCs/>
          <w:i/>
          <w:iCs/>
        </w:rPr>
        <w:t xml:space="preserve">:  </w:t>
      </w:r>
      <w:r w:rsidR="003F3A4E" w:rsidRPr="003F3A4E">
        <w:rPr>
          <w:rFonts w:ascii="Calibri" w:eastAsia="Calibri" w:hAnsi="Calibri" w:cs="Calibri"/>
          <w:color w:val="000000" w:themeColor="text1"/>
        </w:rPr>
        <w:t>In persons at high risk of mpox in the community during an mpox outbreak, what is the evidence that mpox vaccine is safe and can reduce the incidence of mpox infection, hospitalization, and death?</w:t>
      </w:r>
    </w:p>
    <w:p w14:paraId="5CF21A21" w14:textId="203127A0" w:rsidR="00401AAB" w:rsidRDefault="00401AAB" w:rsidP="00401AAB">
      <w:pPr>
        <w:pStyle w:val="Heading1"/>
      </w:pPr>
      <w:r>
        <w:t xml:space="preserve">Domain 3: Values </w:t>
      </w:r>
      <w:r w:rsidR="007B4482">
        <w:t>&amp;</w:t>
      </w:r>
      <w:r>
        <w:t xml:space="preserve"> Preferences</w:t>
      </w:r>
    </w:p>
    <w:p w14:paraId="07700B9B" w14:textId="616C04EC" w:rsidR="00EA3BD5" w:rsidRDefault="00EA3BD5" w:rsidP="00EA3BD5">
      <w:pPr>
        <w:rPr>
          <w:lang w:val="en-GB"/>
        </w:rPr>
      </w:pPr>
      <w:bookmarkStart w:id="4" w:name="_Domain_4:_Resource"/>
      <w:bookmarkEnd w:id="4"/>
    </w:p>
    <w:tbl>
      <w:tblPr>
        <w:tblStyle w:val="GridTable4-Accent1"/>
        <w:tblW w:w="14271" w:type="dxa"/>
        <w:tblLook w:val="0420" w:firstRow="1" w:lastRow="0" w:firstColumn="0" w:lastColumn="0" w:noHBand="0" w:noVBand="1"/>
      </w:tblPr>
      <w:tblGrid>
        <w:gridCol w:w="2052"/>
        <w:gridCol w:w="4313"/>
        <w:gridCol w:w="4235"/>
        <w:gridCol w:w="959"/>
        <w:gridCol w:w="2712"/>
      </w:tblGrid>
      <w:tr w:rsidR="00780EA1" w14:paraId="314E730F" w14:textId="77777777" w:rsidTr="53C6BD78">
        <w:trPr>
          <w:cnfStyle w:val="100000000000" w:firstRow="1" w:lastRow="0" w:firstColumn="0" w:lastColumn="0" w:oddVBand="0" w:evenVBand="0" w:oddHBand="0" w:evenHBand="0" w:firstRowFirstColumn="0" w:firstRowLastColumn="0" w:lastRowFirstColumn="0" w:lastRowLastColumn="0"/>
          <w:trHeight w:val="20"/>
        </w:trPr>
        <w:tc>
          <w:tcPr>
            <w:tcW w:w="2052" w:type="dxa"/>
            <w:hideMark/>
          </w:tcPr>
          <w:p w14:paraId="60C147F7" w14:textId="77777777" w:rsidR="00780EA1" w:rsidRPr="00757B7E" w:rsidRDefault="00780EA1" w:rsidP="00EF25F2">
            <w:pPr>
              <w:rPr>
                <w:rFonts w:ascii="Arial" w:hAnsi="Arial" w:cs="Arial"/>
              </w:rPr>
            </w:pPr>
            <w:r w:rsidRPr="00757B7E">
              <w:t>Element</w:t>
            </w:r>
          </w:p>
        </w:tc>
        <w:tc>
          <w:tcPr>
            <w:tcW w:w="4313" w:type="dxa"/>
            <w:hideMark/>
          </w:tcPr>
          <w:p w14:paraId="71F2A99E" w14:textId="77777777" w:rsidR="00780EA1" w:rsidRPr="00757B7E" w:rsidRDefault="00780EA1" w:rsidP="00EF25F2">
            <w:pPr>
              <w:rPr>
                <w:rFonts w:ascii="Arial" w:hAnsi="Arial" w:cs="Arial"/>
              </w:rPr>
            </w:pPr>
            <w:r>
              <w:t>Categories</w:t>
            </w:r>
            <w:r w:rsidRPr="00757B7E">
              <w:t xml:space="preserve"> of Evidence</w:t>
            </w:r>
          </w:p>
        </w:tc>
        <w:tc>
          <w:tcPr>
            <w:tcW w:w="4235" w:type="dxa"/>
            <w:vAlign w:val="center"/>
          </w:tcPr>
          <w:p w14:paraId="0561F8E7" w14:textId="77777777" w:rsidR="00780EA1" w:rsidRDefault="00780EA1" w:rsidP="00EF25F2">
            <w:r w:rsidRPr="009503FB">
              <w:rPr>
                <w:rFonts w:ascii="Calibri" w:eastAsia="Times New Roman" w:hAnsi="Calibri" w:cs="Calibri"/>
                <w:kern w:val="24"/>
              </w:rPr>
              <w:t>PICO-Specific Evidence to Collect</w:t>
            </w:r>
          </w:p>
        </w:tc>
        <w:tc>
          <w:tcPr>
            <w:tcW w:w="959" w:type="dxa"/>
            <w:vAlign w:val="center"/>
          </w:tcPr>
          <w:p w14:paraId="1A967BFB" w14:textId="77777777" w:rsidR="00780EA1" w:rsidRDefault="00780EA1" w:rsidP="00EF25F2">
            <w:r w:rsidRPr="009503FB">
              <w:rPr>
                <w:rFonts w:ascii="Calibri" w:eastAsia="Times New Roman" w:hAnsi="Calibri" w:cs="Calibri"/>
                <w:kern w:val="24"/>
              </w:rPr>
              <w:t>Priority</w:t>
            </w:r>
          </w:p>
        </w:tc>
        <w:tc>
          <w:tcPr>
            <w:tcW w:w="2712" w:type="dxa"/>
          </w:tcPr>
          <w:p w14:paraId="1A1EF94B" w14:textId="77777777" w:rsidR="00780EA1" w:rsidRDefault="00780EA1" w:rsidP="00EF25F2">
            <w:r>
              <w:rPr>
                <w:rFonts w:ascii="Calibri" w:eastAsia="Times New Roman" w:hAnsi="Calibri" w:cs="Calibri"/>
                <w:kern w:val="24"/>
              </w:rPr>
              <w:t>Sources of Evidence</w:t>
            </w:r>
          </w:p>
        </w:tc>
      </w:tr>
      <w:tr w:rsidR="004D7E29" w:rsidRPr="00F41E79" w14:paraId="08ABE2CF" w14:textId="77777777" w:rsidTr="53C6BD78">
        <w:trPr>
          <w:cnfStyle w:val="000000100000" w:firstRow="0" w:lastRow="0" w:firstColumn="0" w:lastColumn="0" w:oddVBand="0" w:evenVBand="0" w:oddHBand="1" w:evenHBand="0" w:firstRowFirstColumn="0" w:firstRowLastColumn="0" w:lastRowFirstColumn="0" w:lastRowLastColumn="0"/>
          <w:trHeight w:val="20"/>
        </w:trPr>
        <w:tc>
          <w:tcPr>
            <w:tcW w:w="2052" w:type="dxa"/>
          </w:tcPr>
          <w:p w14:paraId="29A0E4DC" w14:textId="5EAA4DB0" w:rsidR="004D7E29" w:rsidRPr="00987CC9" w:rsidRDefault="004D7E29" w:rsidP="00485528">
            <w:pPr>
              <w:ind w:left="432" w:hanging="432"/>
              <w:rPr>
                <w:rFonts w:ascii="Arial" w:hAnsi="Arial" w:cs="Arial"/>
                <w:sz w:val="22"/>
                <w:szCs w:val="22"/>
              </w:rPr>
            </w:pPr>
            <w:r w:rsidRPr="00987CC9">
              <w:rPr>
                <w:sz w:val="22"/>
                <w:szCs w:val="22"/>
              </w:rPr>
              <w:t>3.1</w:t>
            </w:r>
            <w:r w:rsidRPr="00987CC9">
              <w:rPr>
                <w:sz w:val="22"/>
                <w:szCs w:val="22"/>
              </w:rPr>
              <w:tab/>
              <w:t>Benefits and harms</w:t>
            </w:r>
          </w:p>
        </w:tc>
        <w:tc>
          <w:tcPr>
            <w:tcW w:w="4313" w:type="dxa"/>
          </w:tcPr>
          <w:p w14:paraId="1C78A0AB" w14:textId="14F0AD09" w:rsidR="004D7E29" w:rsidRPr="008A240E" w:rsidRDefault="00BC283B" w:rsidP="00485528">
            <w:pPr>
              <w:ind w:left="288" w:hanging="288"/>
              <w:rPr>
                <w:sz w:val="22"/>
                <w:szCs w:val="22"/>
              </w:rPr>
            </w:pPr>
            <w:sdt>
              <w:sdtPr>
                <w:rPr>
                  <w:sz w:val="22"/>
                  <w:szCs w:val="22"/>
                </w:rPr>
                <w:id w:val="1193264157"/>
                <w14:checkbox>
                  <w14:checked w14:val="1"/>
                  <w14:checkedState w14:val="2612" w14:font="MS Gothic"/>
                  <w14:uncheckedState w14:val="2610" w14:font="MS Gothic"/>
                </w14:checkbox>
              </w:sdtPr>
              <w:sdtEndPr/>
              <w:sdtContent>
                <w:r w:rsidR="004D7E29" w:rsidRPr="008A240E">
                  <w:rPr>
                    <w:rFonts w:ascii="MS Gothic" w:eastAsia="MS Gothic" w:hAnsi="MS Gothic" w:hint="eastAsia"/>
                    <w:sz w:val="22"/>
                    <w:szCs w:val="22"/>
                  </w:rPr>
                  <w:t>☒</w:t>
                </w:r>
              </w:sdtContent>
            </w:sdt>
            <w:r w:rsidR="004D7E29" w:rsidRPr="008A240E">
              <w:rPr>
                <w:sz w:val="22"/>
                <w:szCs w:val="22"/>
              </w:rPr>
              <w:tab/>
              <w:t>Relative importance the target population attributes to the benefits and harms of the intervention as well as the comparison</w:t>
            </w:r>
          </w:p>
        </w:tc>
        <w:tc>
          <w:tcPr>
            <w:tcW w:w="4235" w:type="dxa"/>
          </w:tcPr>
          <w:p w14:paraId="49E7537B" w14:textId="77777777" w:rsidR="00EF25F2" w:rsidRDefault="682AB192" w:rsidP="00485528">
            <w:pPr>
              <w:rPr>
                <w:sz w:val="22"/>
                <w:szCs w:val="22"/>
              </w:rPr>
            </w:pPr>
            <w:r w:rsidRPr="53C6BD78">
              <w:rPr>
                <w:sz w:val="22"/>
                <w:szCs w:val="22"/>
              </w:rPr>
              <w:t>Relative importance to each of the target groups</w:t>
            </w:r>
          </w:p>
          <w:p w14:paraId="5AB8844E" w14:textId="526E9F4C" w:rsidR="004D7E29" w:rsidRPr="008A240E" w:rsidRDefault="00EF25F2" w:rsidP="00AC4455">
            <w:pPr>
              <w:rPr>
                <w:sz w:val="22"/>
                <w:szCs w:val="22"/>
              </w:rPr>
            </w:pPr>
            <w:r>
              <w:rPr>
                <w:sz w:val="22"/>
                <w:szCs w:val="22"/>
              </w:rPr>
              <w:t>Management of misinformation, rumors, anti-vaccine informa</w:t>
            </w:r>
            <w:r w:rsidR="00AC4455">
              <w:rPr>
                <w:sz w:val="22"/>
                <w:szCs w:val="22"/>
              </w:rPr>
              <w:t>t</w:t>
            </w:r>
            <w:r>
              <w:rPr>
                <w:sz w:val="22"/>
                <w:szCs w:val="22"/>
              </w:rPr>
              <w:t xml:space="preserve">ion </w:t>
            </w:r>
            <w:r w:rsidR="794C4D21" w:rsidRPr="53C6BD78">
              <w:rPr>
                <w:sz w:val="22"/>
                <w:szCs w:val="22"/>
              </w:rPr>
              <w:t xml:space="preserve"> </w:t>
            </w:r>
          </w:p>
        </w:tc>
        <w:tc>
          <w:tcPr>
            <w:tcW w:w="959" w:type="dxa"/>
          </w:tcPr>
          <w:p w14:paraId="73B88969" w14:textId="74036C93" w:rsidR="004D7E29" w:rsidRPr="008A240E" w:rsidRDefault="00F4460A" w:rsidP="00485528">
            <w:pPr>
              <w:rPr>
                <w:sz w:val="22"/>
                <w:szCs w:val="22"/>
              </w:rPr>
            </w:pPr>
            <w:r>
              <w:rPr>
                <w:sz w:val="22"/>
                <w:szCs w:val="22"/>
              </w:rPr>
              <w:t>Critical</w:t>
            </w:r>
          </w:p>
        </w:tc>
        <w:tc>
          <w:tcPr>
            <w:tcW w:w="2712" w:type="dxa"/>
            <w:vMerge w:val="restart"/>
          </w:tcPr>
          <w:p w14:paraId="097C82A0" w14:textId="183F7060" w:rsidR="004D7E29" w:rsidRPr="008A240E" w:rsidRDefault="004D7E29" w:rsidP="00EF25F2">
            <w:pPr>
              <w:rPr>
                <w:sz w:val="22"/>
                <w:szCs w:val="22"/>
              </w:rPr>
            </w:pPr>
            <w:r>
              <w:rPr>
                <w:sz w:val="22"/>
                <w:szCs w:val="22"/>
              </w:rPr>
              <w:t>Country information /data</w:t>
            </w:r>
            <w:r w:rsidR="00EF25F2">
              <w:rPr>
                <w:sz w:val="22"/>
                <w:szCs w:val="22"/>
              </w:rPr>
              <w:t xml:space="preserve"> – MOH information, KAP surveys, focus groups, other studies  </w:t>
            </w:r>
          </w:p>
        </w:tc>
      </w:tr>
      <w:tr w:rsidR="004D7E29" w:rsidRPr="00F41E79" w14:paraId="769BBC65" w14:textId="77777777" w:rsidTr="53C6BD78">
        <w:trPr>
          <w:trHeight w:val="20"/>
        </w:trPr>
        <w:tc>
          <w:tcPr>
            <w:tcW w:w="2052" w:type="dxa"/>
          </w:tcPr>
          <w:p w14:paraId="4528D8E5" w14:textId="4C8C8CAC" w:rsidR="004D7E29" w:rsidRPr="00987CC9" w:rsidRDefault="004D7E29" w:rsidP="00485528">
            <w:pPr>
              <w:ind w:left="432" w:hanging="432"/>
              <w:rPr>
                <w:rFonts w:ascii="Arial" w:hAnsi="Arial" w:cs="Arial"/>
                <w:sz w:val="22"/>
                <w:szCs w:val="22"/>
              </w:rPr>
            </w:pPr>
            <w:r w:rsidRPr="00987CC9">
              <w:rPr>
                <w:sz w:val="22"/>
                <w:szCs w:val="22"/>
              </w:rPr>
              <w:t>3.2</w:t>
            </w:r>
            <w:r w:rsidRPr="00987CC9">
              <w:rPr>
                <w:sz w:val="22"/>
                <w:szCs w:val="22"/>
              </w:rPr>
              <w:tab/>
              <w:t>Differences by segments of target population</w:t>
            </w:r>
          </w:p>
        </w:tc>
        <w:tc>
          <w:tcPr>
            <w:tcW w:w="4313" w:type="dxa"/>
          </w:tcPr>
          <w:p w14:paraId="4B159DC9" w14:textId="29AAF228" w:rsidR="004D7E29" w:rsidRPr="008A240E" w:rsidRDefault="00BC283B" w:rsidP="00485528">
            <w:pPr>
              <w:ind w:left="288" w:hanging="288"/>
              <w:rPr>
                <w:sz w:val="22"/>
                <w:szCs w:val="22"/>
              </w:rPr>
            </w:pPr>
            <w:sdt>
              <w:sdtPr>
                <w:rPr>
                  <w:sz w:val="22"/>
                  <w:szCs w:val="22"/>
                </w:rPr>
                <w:id w:val="971482443"/>
                <w14:checkbox>
                  <w14:checked w14:val="1"/>
                  <w14:checkedState w14:val="2612" w14:font="MS Gothic"/>
                  <w14:uncheckedState w14:val="2610" w14:font="MS Gothic"/>
                </w14:checkbox>
              </w:sdtPr>
              <w:sdtEndPr/>
              <w:sdtContent>
                <w:r w:rsidR="004D7E29">
                  <w:rPr>
                    <w:rFonts w:ascii="MS Gothic" w:eastAsia="MS Gothic" w:hAnsi="MS Gothic" w:hint="eastAsia"/>
                    <w:sz w:val="22"/>
                    <w:szCs w:val="22"/>
                  </w:rPr>
                  <w:t>☒</w:t>
                </w:r>
              </w:sdtContent>
            </w:sdt>
            <w:r w:rsidR="004D7E29" w:rsidRPr="008A240E">
              <w:rPr>
                <w:sz w:val="22"/>
                <w:szCs w:val="22"/>
              </w:rPr>
              <w:tab/>
              <w:t>Differences in values and preferences (ethical, religious, financial) for different segments of the target population (disadvantaged, religious)</w:t>
            </w:r>
          </w:p>
        </w:tc>
        <w:tc>
          <w:tcPr>
            <w:tcW w:w="4235" w:type="dxa"/>
          </w:tcPr>
          <w:p w14:paraId="175304A2" w14:textId="49E670B7" w:rsidR="004D7E29" w:rsidRPr="008A240E" w:rsidRDefault="004D7E29" w:rsidP="00485528">
            <w:pPr>
              <w:rPr>
                <w:sz w:val="22"/>
                <w:szCs w:val="22"/>
              </w:rPr>
            </w:pPr>
            <w:r>
              <w:rPr>
                <w:sz w:val="22"/>
                <w:szCs w:val="22"/>
              </w:rPr>
              <w:t>Differences in demand for each of the target groups</w:t>
            </w:r>
          </w:p>
        </w:tc>
        <w:tc>
          <w:tcPr>
            <w:tcW w:w="959" w:type="dxa"/>
          </w:tcPr>
          <w:p w14:paraId="66E581CE" w14:textId="714B2DD9" w:rsidR="004D7E29" w:rsidRPr="008A240E" w:rsidRDefault="00F4460A" w:rsidP="00485528">
            <w:pPr>
              <w:rPr>
                <w:sz w:val="22"/>
                <w:szCs w:val="22"/>
              </w:rPr>
            </w:pPr>
            <w:r>
              <w:rPr>
                <w:sz w:val="22"/>
                <w:szCs w:val="22"/>
              </w:rPr>
              <w:t>Critical</w:t>
            </w:r>
          </w:p>
        </w:tc>
        <w:tc>
          <w:tcPr>
            <w:tcW w:w="2712" w:type="dxa"/>
            <w:vMerge/>
          </w:tcPr>
          <w:p w14:paraId="0DB1BC91" w14:textId="77777777" w:rsidR="004D7E29" w:rsidRPr="008A240E" w:rsidRDefault="004D7E29" w:rsidP="00485528">
            <w:pPr>
              <w:rPr>
                <w:sz w:val="22"/>
                <w:szCs w:val="22"/>
              </w:rPr>
            </w:pPr>
          </w:p>
        </w:tc>
      </w:tr>
      <w:tr w:rsidR="004D7E29" w:rsidRPr="00F41E79" w14:paraId="00B6F6A6" w14:textId="77777777" w:rsidTr="53C6BD78">
        <w:trPr>
          <w:cnfStyle w:val="000000100000" w:firstRow="0" w:lastRow="0" w:firstColumn="0" w:lastColumn="0" w:oddVBand="0" w:evenVBand="0" w:oddHBand="1" w:evenHBand="0" w:firstRowFirstColumn="0" w:firstRowLastColumn="0" w:lastRowFirstColumn="0" w:lastRowLastColumn="0"/>
          <w:trHeight w:val="20"/>
        </w:trPr>
        <w:tc>
          <w:tcPr>
            <w:tcW w:w="2052" w:type="dxa"/>
          </w:tcPr>
          <w:p w14:paraId="4F9777F6" w14:textId="0518D385" w:rsidR="004D7E29" w:rsidRPr="00987CC9" w:rsidRDefault="004D7E29" w:rsidP="00485528">
            <w:pPr>
              <w:ind w:left="432" w:hanging="432"/>
              <w:rPr>
                <w:rFonts w:ascii="Arial" w:hAnsi="Arial" w:cs="Arial"/>
                <w:sz w:val="22"/>
                <w:szCs w:val="22"/>
              </w:rPr>
            </w:pPr>
            <w:r w:rsidRPr="00987CC9">
              <w:rPr>
                <w:sz w:val="22"/>
                <w:szCs w:val="22"/>
              </w:rPr>
              <w:t>3.3</w:t>
            </w:r>
            <w:r w:rsidRPr="00987CC9">
              <w:rPr>
                <w:sz w:val="22"/>
                <w:szCs w:val="22"/>
              </w:rPr>
              <w:tab/>
              <w:t xml:space="preserve">Demand </w:t>
            </w:r>
          </w:p>
        </w:tc>
        <w:tc>
          <w:tcPr>
            <w:tcW w:w="4313" w:type="dxa"/>
          </w:tcPr>
          <w:p w14:paraId="00E1E938" w14:textId="17D807A2" w:rsidR="004D7E29" w:rsidRPr="008A240E" w:rsidRDefault="00BC283B" w:rsidP="00485528">
            <w:pPr>
              <w:ind w:left="288" w:hanging="288"/>
              <w:rPr>
                <w:sz w:val="22"/>
                <w:szCs w:val="22"/>
              </w:rPr>
            </w:pPr>
            <w:sdt>
              <w:sdtPr>
                <w:rPr>
                  <w:sz w:val="22"/>
                  <w:szCs w:val="22"/>
                </w:rPr>
                <w:id w:val="-1578047910"/>
                <w14:checkbox>
                  <w14:checked w14:val="1"/>
                  <w14:checkedState w14:val="2612" w14:font="MS Gothic"/>
                  <w14:uncheckedState w14:val="2610" w14:font="MS Gothic"/>
                </w14:checkbox>
              </w:sdtPr>
              <w:sdtEndPr/>
              <w:sdtContent>
                <w:r w:rsidR="004D7E29">
                  <w:rPr>
                    <w:rFonts w:ascii="MS Gothic" w:eastAsia="MS Gothic" w:hAnsi="MS Gothic" w:hint="eastAsia"/>
                    <w:sz w:val="22"/>
                    <w:szCs w:val="22"/>
                  </w:rPr>
                  <w:t>☒</w:t>
                </w:r>
              </w:sdtContent>
            </w:sdt>
            <w:r w:rsidR="004D7E29" w:rsidRPr="008A240E">
              <w:rPr>
                <w:sz w:val="22"/>
                <w:szCs w:val="22"/>
              </w:rPr>
              <w:tab/>
              <w:t>Demand for vaccine of target population</w:t>
            </w:r>
          </w:p>
        </w:tc>
        <w:tc>
          <w:tcPr>
            <w:tcW w:w="4235" w:type="dxa"/>
          </w:tcPr>
          <w:p w14:paraId="1800589E" w14:textId="77777777" w:rsidR="004D7E29" w:rsidRDefault="004D7E29" w:rsidP="00485528">
            <w:pPr>
              <w:rPr>
                <w:sz w:val="22"/>
                <w:szCs w:val="22"/>
              </w:rPr>
            </w:pPr>
            <w:r>
              <w:rPr>
                <w:sz w:val="22"/>
                <w:szCs w:val="22"/>
              </w:rPr>
              <w:t>Demand for each of the target groups</w:t>
            </w:r>
          </w:p>
          <w:p w14:paraId="75BCBC71" w14:textId="18ABF5C5" w:rsidR="00EF25F2" w:rsidRPr="008A240E" w:rsidRDefault="00EF25F2" w:rsidP="00485528">
            <w:pPr>
              <w:rPr>
                <w:sz w:val="22"/>
                <w:szCs w:val="22"/>
              </w:rPr>
            </w:pPr>
          </w:p>
        </w:tc>
        <w:tc>
          <w:tcPr>
            <w:tcW w:w="959" w:type="dxa"/>
          </w:tcPr>
          <w:p w14:paraId="6496369B" w14:textId="40462F9B" w:rsidR="004D7E29" w:rsidRPr="008A240E" w:rsidRDefault="00B01884" w:rsidP="00485528">
            <w:pPr>
              <w:rPr>
                <w:sz w:val="22"/>
                <w:szCs w:val="22"/>
              </w:rPr>
            </w:pPr>
            <w:r>
              <w:rPr>
                <w:sz w:val="22"/>
                <w:szCs w:val="22"/>
              </w:rPr>
              <w:t>Critical</w:t>
            </w:r>
          </w:p>
        </w:tc>
        <w:tc>
          <w:tcPr>
            <w:tcW w:w="2712" w:type="dxa"/>
            <w:vMerge/>
          </w:tcPr>
          <w:p w14:paraId="71B9D1EA" w14:textId="77777777" w:rsidR="004D7E29" w:rsidRPr="008A240E" w:rsidRDefault="004D7E29" w:rsidP="00485528">
            <w:pPr>
              <w:rPr>
                <w:sz w:val="22"/>
                <w:szCs w:val="22"/>
              </w:rPr>
            </w:pPr>
          </w:p>
        </w:tc>
      </w:tr>
    </w:tbl>
    <w:p w14:paraId="0805C773" w14:textId="77777777" w:rsidR="00780EA1" w:rsidRDefault="00780EA1" w:rsidP="00EA3BD5">
      <w:pPr>
        <w:rPr>
          <w:lang w:val="en-GB"/>
        </w:rPr>
      </w:pPr>
    </w:p>
    <w:p w14:paraId="6112DF9C" w14:textId="77777777" w:rsidR="00BA14CE" w:rsidRDefault="00BA14CE">
      <w:pPr>
        <w:spacing w:after="200" w:line="276" w:lineRule="auto"/>
        <w:rPr>
          <w:rFonts w:asciiTheme="majorHAnsi" w:eastAsiaTheme="majorEastAsia" w:hAnsiTheme="majorHAnsi" w:cstheme="majorBidi"/>
          <w:color w:val="2C4F85" w:themeColor="accent1" w:themeShade="BF"/>
          <w:sz w:val="32"/>
          <w:szCs w:val="32"/>
          <w:lang w:val="en-GB"/>
        </w:rPr>
      </w:pPr>
      <w:r>
        <w:br w:type="page"/>
      </w:r>
    </w:p>
    <w:p w14:paraId="397B902B" w14:textId="57DF5287" w:rsidR="00223F71" w:rsidRPr="006D0A39" w:rsidRDefault="003F3A4E" w:rsidP="00223F71">
      <w:pPr>
        <w:rPr>
          <w:b/>
          <w:bCs/>
          <w:i/>
          <w:iCs/>
        </w:rPr>
      </w:pPr>
      <w:r>
        <w:rPr>
          <w:b/>
          <w:bCs/>
          <w:i/>
          <w:iCs/>
        </w:rPr>
        <w:lastRenderedPageBreak/>
        <w:t xml:space="preserve">PICO Question: </w:t>
      </w:r>
      <w:r w:rsidRPr="003F3A4E">
        <w:rPr>
          <w:b/>
          <w:bCs/>
          <w:i/>
          <w:iCs/>
        </w:rPr>
        <w:t xml:space="preserve"> </w:t>
      </w:r>
      <w:r w:rsidRPr="003F3A4E">
        <w:rPr>
          <w:rFonts w:ascii="Calibri" w:eastAsia="Calibri" w:hAnsi="Calibri" w:cs="Calibri"/>
          <w:color w:val="000000" w:themeColor="text1"/>
        </w:rPr>
        <w:t>In persons at high risk of mpox in the community during an mpox outbreak, what is the evidence that mpox vaccine is safe and can reduce the incidence of mpox infection, hospitalization, and death?</w:t>
      </w:r>
    </w:p>
    <w:p w14:paraId="21F45E57" w14:textId="0E6558F8" w:rsidR="00D15FBC" w:rsidRDefault="00463DEE" w:rsidP="00B7452C">
      <w:pPr>
        <w:pStyle w:val="Heading1"/>
      </w:pPr>
      <w:r>
        <w:t xml:space="preserve">Domain </w:t>
      </w:r>
      <w:r w:rsidR="00B7452C">
        <w:t>4</w:t>
      </w:r>
      <w:r>
        <w:t>: Resource Use</w:t>
      </w:r>
    </w:p>
    <w:p w14:paraId="5EEFFCFE" w14:textId="7EB95A99" w:rsidR="00B70AE6" w:rsidRDefault="00B70AE6" w:rsidP="00B70AE6"/>
    <w:tbl>
      <w:tblPr>
        <w:tblStyle w:val="GridTable4-Accent1"/>
        <w:tblW w:w="14271" w:type="dxa"/>
        <w:tblLook w:val="0420" w:firstRow="1" w:lastRow="0" w:firstColumn="0" w:lastColumn="0" w:noHBand="0" w:noVBand="1"/>
      </w:tblPr>
      <w:tblGrid>
        <w:gridCol w:w="2046"/>
        <w:gridCol w:w="4243"/>
        <w:gridCol w:w="4169"/>
        <w:gridCol w:w="1124"/>
        <w:gridCol w:w="2689"/>
      </w:tblGrid>
      <w:tr w:rsidR="00780EA1" w14:paraId="2DC097D9" w14:textId="77777777" w:rsidTr="00485528">
        <w:trPr>
          <w:cnfStyle w:val="100000000000" w:firstRow="1" w:lastRow="0" w:firstColumn="0" w:lastColumn="0" w:oddVBand="0" w:evenVBand="0" w:oddHBand="0" w:evenHBand="0" w:firstRowFirstColumn="0" w:firstRowLastColumn="0" w:lastRowFirstColumn="0" w:lastRowLastColumn="0"/>
          <w:trHeight w:val="20"/>
        </w:trPr>
        <w:tc>
          <w:tcPr>
            <w:tcW w:w="2052" w:type="dxa"/>
            <w:hideMark/>
          </w:tcPr>
          <w:p w14:paraId="4768AA53" w14:textId="77777777" w:rsidR="00780EA1" w:rsidRPr="00757B7E" w:rsidRDefault="00780EA1" w:rsidP="00EF25F2">
            <w:pPr>
              <w:rPr>
                <w:rFonts w:ascii="Arial" w:hAnsi="Arial" w:cs="Arial"/>
              </w:rPr>
            </w:pPr>
            <w:r w:rsidRPr="00757B7E">
              <w:t>Element</w:t>
            </w:r>
          </w:p>
        </w:tc>
        <w:tc>
          <w:tcPr>
            <w:tcW w:w="4313" w:type="dxa"/>
            <w:hideMark/>
          </w:tcPr>
          <w:p w14:paraId="155B03D4" w14:textId="77777777" w:rsidR="00780EA1" w:rsidRPr="00757B7E" w:rsidRDefault="00780EA1" w:rsidP="00EF25F2">
            <w:pPr>
              <w:rPr>
                <w:rFonts w:ascii="Arial" w:hAnsi="Arial" w:cs="Arial"/>
              </w:rPr>
            </w:pPr>
            <w:r>
              <w:t>Categories</w:t>
            </w:r>
            <w:r w:rsidRPr="00757B7E">
              <w:t xml:space="preserve"> of Evidence</w:t>
            </w:r>
          </w:p>
        </w:tc>
        <w:tc>
          <w:tcPr>
            <w:tcW w:w="4235" w:type="dxa"/>
            <w:vAlign w:val="center"/>
          </w:tcPr>
          <w:p w14:paraId="5FAE8F0A" w14:textId="77777777" w:rsidR="00780EA1" w:rsidRDefault="00780EA1" w:rsidP="00EF25F2">
            <w:r w:rsidRPr="009503FB">
              <w:rPr>
                <w:rFonts w:ascii="Calibri" w:eastAsia="Times New Roman" w:hAnsi="Calibri" w:cs="Calibri"/>
                <w:kern w:val="24"/>
              </w:rPr>
              <w:t>PICO-Specific Evidence to Collect</w:t>
            </w:r>
          </w:p>
        </w:tc>
        <w:tc>
          <w:tcPr>
            <w:tcW w:w="959" w:type="dxa"/>
            <w:vAlign w:val="center"/>
          </w:tcPr>
          <w:p w14:paraId="46B26739" w14:textId="77777777" w:rsidR="00780EA1" w:rsidRDefault="00780EA1" w:rsidP="00EF25F2">
            <w:r w:rsidRPr="009503FB">
              <w:rPr>
                <w:rFonts w:ascii="Calibri" w:eastAsia="Times New Roman" w:hAnsi="Calibri" w:cs="Calibri"/>
                <w:kern w:val="24"/>
              </w:rPr>
              <w:t>Priority</w:t>
            </w:r>
          </w:p>
        </w:tc>
        <w:tc>
          <w:tcPr>
            <w:tcW w:w="2712" w:type="dxa"/>
          </w:tcPr>
          <w:p w14:paraId="452EC176" w14:textId="77777777" w:rsidR="00780EA1" w:rsidRDefault="00780EA1" w:rsidP="00EF25F2">
            <w:r>
              <w:rPr>
                <w:rFonts w:ascii="Calibri" w:eastAsia="Times New Roman" w:hAnsi="Calibri" w:cs="Calibri"/>
                <w:kern w:val="24"/>
              </w:rPr>
              <w:t>Sources of Evidence</w:t>
            </w:r>
          </w:p>
        </w:tc>
      </w:tr>
      <w:tr w:rsidR="00485528" w:rsidRPr="00F41E79" w14:paraId="7996D43C" w14:textId="77777777" w:rsidTr="00485528">
        <w:trPr>
          <w:cnfStyle w:val="000000100000" w:firstRow="0" w:lastRow="0" w:firstColumn="0" w:lastColumn="0" w:oddVBand="0" w:evenVBand="0" w:oddHBand="1" w:evenHBand="0" w:firstRowFirstColumn="0" w:firstRowLastColumn="0" w:lastRowFirstColumn="0" w:lastRowLastColumn="0"/>
          <w:trHeight w:val="20"/>
        </w:trPr>
        <w:tc>
          <w:tcPr>
            <w:tcW w:w="2052" w:type="dxa"/>
          </w:tcPr>
          <w:p w14:paraId="508E1A5A" w14:textId="24FF144B" w:rsidR="00485528" w:rsidRPr="008A240E" w:rsidRDefault="00485528" w:rsidP="00485528">
            <w:pPr>
              <w:ind w:left="432" w:hanging="432"/>
              <w:rPr>
                <w:rFonts w:ascii="Arial" w:hAnsi="Arial" w:cs="Arial"/>
                <w:sz w:val="22"/>
                <w:szCs w:val="22"/>
              </w:rPr>
            </w:pPr>
            <w:r w:rsidRPr="008A240E">
              <w:rPr>
                <w:sz w:val="22"/>
                <w:szCs w:val="22"/>
              </w:rPr>
              <w:t>4.1</w:t>
            </w:r>
            <w:r w:rsidRPr="008A240E">
              <w:rPr>
                <w:sz w:val="22"/>
                <w:szCs w:val="22"/>
              </w:rPr>
              <w:tab/>
              <w:t>Resource use and cost related to the vaccine</w:t>
            </w:r>
          </w:p>
        </w:tc>
        <w:tc>
          <w:tcPr>
            <w:tcW w:w="4313" w:type="dxa"/>
          </w:tcPr>
          <w:p w14:paraId="68BA5071" w14:textId="276BFAC9" w:rsidR="00485528" w:rsidRPr="008A240E" w:rsidRDefault="00BC283B" w:rsidP="00485528">
            <w:pPr>
              <w:ind w:left="288" w:hanging="288"/>
              <w:rPr>
                <w:sz w:val="22"/>
                <w:szCs w:val="22"/>
              </w:rPr>
            </w:pPr>
            <w:sdt>
              <w:sdtPr>
                <w:rPr>
                  <w:sz w:val="22"/>
                  <w:szCs w:val="22"/>
                </w:rPr>
                <w:id w:val="-1258515312"/>
                <w14:checkbox>
                  <w14:checked w14:val="1"/>
                  <w14:checkedState w14:val="2612" w14:font="MS Gothic"/>
                  <w14:uncheckedState w14:val="2610" w14:font="MS Gothic"/>
                </w14:checkbox>
              </w:sdtPr>
              <w:sdtEndPr/>
              <w:sdtContent>
                <w:r w:rsidR="004D7E29">
                  <w:rPr>
                    <w:rFonts w:ascii="MS Gothic" w:eastAsia="MS Gothic" w:hAnsi="MS Gothic" w:hint="eastAsia"/>
                    <w:sz w:val="22"/>
                    <w:szCs w:val="22"/>
                  </w:rPr>
                  <w:t>☒</w:t>
                </w:r>
              </w:sdtContent>
            </w:sdt>
            <w:r w:rsidR="00485528" w:rsidRPr="008A240E">
              <w:rPr>
                <w:sz w:val="22"/>
                <w:szCs w:val="22"/>
              </w:rPr>
              <w:tab/>
              <w:t>Direct and indirect costs to administer the vaccine as they compare to other prevention or control measures</w:t>
            </w:r>
          </w:p>
          <w:p w14:paraId="7695C336" w14:textId="730BE711" w:rsidR="00485528" w:rsidRPr="008A240E" w:rsidRDefault="00BC283B" w:rsidP="00485528">
            <w:pPr>
              <w:ind w:left="288" w:hanging="288"/>
              <w:rPr>
                <w:sz w:val="22"/>
                <w:szCs w:val="22"/>
              </w:rPr>
            </w:pPr>
            <w:sdt>
              <w:sdtPr>
                <w:rPr>
                  <w:sz w:val="22"/>
                  <w:szCs w:val="22"/>
                </w:rPr>
                <w:id w:val="651875150"/>
                <w14:checkbox>
                  <w14:checked w14:val="1"/>
                  <w14:checkedState w14:val="2612" w14:font="MS Gothic"/>
                  <w14:uncheckedState w14:val="2610" w14:font="MS Gothic"/>
                </w14:checkbox>
              </w:sdtPr>
              <w:sdtEndPr/>
              <w:sdtContent>
                <w:r w:rsidR="004D7E29">
                  <w:rPr>
                    <w:rFonts w:ascii="MS Gothic" w:eastAsia="MS Gothic" w:hAnsi="MS Gothic" w:hint="eastAsia"/>
                    <w:sz w:val="22"/>
                    <w:szCs w:val="22"/>
                  </w:rPr>
                  <w:t>☒</w:t>
                </w:r>
              </w:sdtContent>
            </w:sdt>
            <w:r w:rsidR="00485528" w:rsidRPr="008A240E">
              <w:rPr>
                <w:sz w:val="22"/>
                <w:szCs w:val="22"/>
              </w:rPr>
              <w:tab/>
              <w:t>Cost using different strategies</w:t>
            </w:r>
          </w:p>
        </w:tc>
        <w:tc>
          <w:tcPr>
            <w:tcW w:w="4235" w:type="dxa"/>
          </w:tcPr>
          <w:p w14:paraId="59339116" w14:textId="6FBAA147" w:rsidR="00485528" w:rsidRDefault="004D7E29" w:rsidP="00485528">
            <w:pPr>
              <w:rPr>
                <w:sz w:val="22"/>
                <w:szCs w:val="22"/>
              </w:rPr>
            </w:pPr>
            <w:r>
              <w:rPr>
                <w:sz w:val="22"/>
                <w:szCs w:val="22"/>
              </w:rPr>
              <w:t xml:space="preserve">Costs of vaccine; </w:t>
            </w:r>
            <w:r>
              <w:rPr>
                <w:sz w:val="22"/>
                <w:szCs w:val="22"/>
              </w:rPr>
              <w:br/>
            </w:r>
            <w:r w:rsidR="008A240E">
              <w:rPr>
                <w:sz w:val="22"/>
                <w:szCs w:val="22"/>
              </w:rPr>
              <w:t>Costs of vaccine administration to each of the target groups</w:t>
            </w:r>
          </w:p>
          <w:p w14:paraId="5613035A" w14:textId="77777777" w:rsidR="008A240E" w:rsidRDefault="008A240E" w:rsidP="00AC4455">
            <w:pPr>
              <w:rPr>
                <w:sz w:val="22"/>
                <w:szCs w:val="22"/>
              </w:rPr>
            </w:pPr>
            <w:r>
              <w:rPr>
                <w:sz w:val="22"/>
                <w:szCs w:val="22"/>
              </w:rPr>
              <w:t xml:space="preserve">Costs for </w:t>
            </w:r>
            <w:r w:rsidR="004D7E29">
              <w:rPr>
                <w:sz w:val="22"/>
                <w:szCs w:val="22"/>
              </w:rPr>
              <w:t xml:space="preserve">planning, </w:t>
            </w:r>
            <w:r>
              <w:rPr>
                <w:sz w:val="22"/>
                <w:szCs w:val="22"/>
              </w:rPr>
              <w:t>training</w:t>
            </w:r>
            <w:r w:rsidR="00AC4455">
              <w:rPr>
                <w:sz w:val="22"/>
                <w:szCs w:val="22"/>
              </w:rPr>
              <w:t xml:space="preserve">/support </w:t>
            </w:r>
            <w:r>
              <w:rPr>
                <w:sz w:val="22"/>
                <w:szCs w:val="22"/>
              </w:rPr>
              <w:t>of HCWs, community mobilization</w:t>
            </w:r>
          </w:p>
          <w:p w14:paraId="6A6EEA9F" w14:textId="1656B8EC" w:rsidR="00AC4455" w:rsidRPr="008A240E" w:rsidRDefault="00AC4455" w:rsidP="00AC4455">
            <w:pPr>
              <w:rPr>
                <w:sz w:val="22"/>
                <w:szCs w:val="22"/>
              </w:rPr>
            </w:pPr>
            <w:r>
              <w:rPr>
                <w:sz w:val="22"/>
                <w:szCs w:val="22"/>
              </w:rPr>
              <w:t>Costs of different vaccine administration strategies (intradermal vs. subcutaneous – MVA-BN)</w:t>
            </w:r>
          </w:p>
        </w:tc>
        <w:tc>
          <w:tcPr>
            <w:tcW w:w="959" w:type="dxa"/>
          </w:tcPr>
          <w:p w14:paraId="56139CD5" w14:textId="77777777" w:rsidR="00AC4455" w:rsidRDefault="00B01884" w:rsidP="00485528">
            <w:pPr>
              <w:rPr>
                <w:sz w:val="22"/>
                <w:szCs w:val="22"/>
              </w:rPr>
            </w:pPr>
            <w:r>
              <w:rPr>
                <w:sz w:val="22"/>
                <w:szCs w:val="22"/>
              </w:rPr>
              <w:t>Critical</w:t>
            </w:r>
          </w:p>
          <w:p w14:paraId="20E9F515" w14:textId="77777777" w:rsidR="00AC4455" w:rsidRDefault="00AC4455" w:rsidP="00485528">
            <w:pPr>
              <w:rPr>
                <w:sz w:val="22"/>
                <w:szCs w:val="22"/>
              </w:rPr>
            </w:pPr>
          </w:p>
          <w:p w14:paraId="3C2BC747" w14:textId="41623C86" w:rsidR="00485528" w:rsidRPr="008A240E" w:rsidRDefault="00B01884" w:rsidP="00E15A3E">
            <w:pPr>
              <w:rPr>
                <w:sz w:val="22"/>
                <w:szCs w:val="22"/>
              </w:rPr>
            </w:pPr>
            <w:r>
              <w:rPr>
                <w:sz w:val="22"/>
                <w:szCs w:val="22"/>
              </w:rPr>
              <w:br/>
            </w:r>
          </w:p>
        </w:tc>
        <w:tc>
          <w:tcPr>
            <w:tcW w:w="2712" w:type="dxa"/>
          </w:tcPr>
          <w:p w14:paraId="135E1D75" w14:textId="77777777" w:rsidR="00485528" w:rsidRDefault="00104114" w:rsidP="00485528">
            <w:pPr>
              <w:rPr>
                <w:sz w:val="22"/>
                <w:szCs w:val="22"/>
              </w:rPr>
            </w:pPr>
            <w:r>
              <w:rPr>
                <w:sz w:val="22"/>
                <w:szCs w:val="22"/>
              </w:rPr>
              <w:t>WHO/GAVI/UNICEF</w:t>
            </w:r>
          </w:p>
          <w:p w14:paraId="7688CFBF" w14:textId="320A7585" w:rsidR="00104114" w:rsidRPr="008A240E" w:rsidRDefault="00104114" w:rsidP="00485528">
            <w:pPr>
              <w:rPr>
                <w:sz w:val="22"/>
                <w:szCs w:val="22"/>
              </w:rPr>
            </w:pPr>
            <w:r>
              <w:rPr>
                <w:sz w:val="22"/>
                <w:szCs w:val="22"/>
              </w:rPr>
              <w:t>Country data</w:t>
            </w:r>
          </w:p>
        </w:tc>
      </w:tr>
      <w:tr w:rsidR="00485528" w:rsidRPr="00F41E79" w14:paraId="35EAE6AB" w14:textId="77777777" w:rsidTr="00485528">
        <w:trPr>
          <w:trHeight w:val="20"/>
        </w:trPr>
        <w:tc>
          <w:tcPr>
            <w:tcW w:w="2052" w:type="dxa"/>
          </w:tcPr>
          <w:p w14:paraId="2A58F9C2" w14:textId="5DC092AC" w:rsidR="00485528" w:rsidRPr="008A240E" w:rsidRDefault="00485528" w:rsidP="00485528">
            <w:pPr>
              <w:ind w:left="432" w:hanging="432"/>
              <w:rPr>
                <w:rFonts w:ascii="Arial" w:hAnsi="Arial" w:cs="Arial"/>
                <w:sz w:val="22"/>
                <w:szCs w:val="22"/>
              </w:rPr>
            </w:pPr>
            <w:r w:rsidRPr="008A240E">
              <w:rPr>
                <w:sz w:val="22"/>
                <w:szCs w:val="22"/>
              </w:rPr>
              <w:t>4.2</w:t>
            </w:r>
            <w:r w:rsidRPr="008A240E">
              <w:rPr>
                <w:sz w:val="22"/>
                <w:szCs w:val="22"/>
              </w:rPr>
              <w:tab/>
              <w:t>Vaccine availability</w:t>
            </w:r>
          </w:p>
        </w:tc>
        <w:tc>
          <w:tcPr>
            <w:tcW w:w="4313" w:type="dxa"/>
          </w:tcPr>
          <w:p w14:paraId="3FC7B63D" w14:textId="3F0A67C9" w:rsidR="00485528" w:rsidRPr="008A240E" w:rsidRDefault="00BC283B" w:rsidP="00485528">
            <w:pPr>
              <w:ind w:left="288" w:hanging="288"/>
              <w:rPr>
                <w:sz w:val="22"/>
                <w:szCs w:val="22"/>
              </w:rPr>
            </w:pPr>
            <w:sdt>
              <w:sdtPr>
                <w:rPr>
                  <w:sz w:val="22"/>
                  <w:szCs w:val="22"/>
                </w:rPr>
                <w:id w:val="-891730610"/>
                <w14:checkbox>
                  <w14:checked w14:val="1"/>
                  <w14:checkedState w14:val="2612" w14:font="MS Gothic"/>
                  <w14:uncheckedState w14:val="2610" w14:font="MS Gothic"/>
                </w14:checkbox>
              </w:sdtPr>
              <w:sdtEndPr/>
              <w:sdtContent>
                <w:r w:rsidR="004D7E29">
                  <w:rPr>
                    <w:rFonts w:ascii="MS Gothic" w:eastAsia="MS Gothic" w:hAnsi="MS Gothic" w:hint="eastAsia"/>
                    <w:sz w:val="22"/>
                    <w:szCs w:val="22"/>
                  </w:rPr>
                  <w:t>☒</w:t>
                </w:r>
              </w:sdtContent>
            </w:sdt>
            <w:r w:rsidR="00485528" w:rsidRPr="008A240E">
              <w:rPr>
                <w:sz w:val="22"/>
                <w:szCs w:val="22"/>
              </w:rPr>
              <w:tab/>
              <w:t>Availability of vaccine and long-term supply</w:t>
            </w:r>
          </w:p>
          <w:p w14:paraId="327259F9" w14:textId="71E13205" w:rsidR="00485528" w:rsidRPr="008A240E" w:rsidRDefault="00BC283B" w:rsidP="00485528">
            <w:pPr>
              <w:ind w:left="288" w:hanging="288"/>
              <w:rPr>
                <w:sz w:val="22"/>
                <w:szCs w:val="22"/>
              </w:rPr>
            </w:pPr>
            <w:sdt>
              <w:sdtPr>
                <w:rPr>
                  <w:sz w:val="22"/>
                  <w:szCs w:val="22"/>
                </w:rPr>
                <w:id w:val="1506322788"/>
                <w14:checkbox>
                  <w14:checked w14:val="1"/>
                  <w14:checkedState w14:val="2612" w14:font="MS Gothic"/>
                  <w14:uncheckedState w14:val="2610" w14:font="MS Gothic"/>
                </w14:checkbox>
              </w:sdtPr>
              <w:sdtEndPr/>
              <w:sdtContent>
                <w:r w:rsidR="004D7E29">
                  <w:rPr>
                    <w:rFonts w:ascii="MS Gothic" w:eastAsia="MS Gothic" w:hAnsi="MS Gothic" w:hint="eastAsia"/>
                    <w:sz w:val="22"/>
                    <w:szCs w:val="22"/>
                  </w:rPr>
                  <w:t>☒</w:t>
                </w:r>
              </w:sdtContent>
            </w:sdt>
            <w:r w:rsidR="00485528" w:rsidRPr="008A240E">
              <w:rPr>
                <w:sz w:val="22"/>
                <w:szCs w:val="22"/>
              </w:rPr>
              <w:tab/>
              <w:t>Available suppliers and competition dynamic in the market</w:t>
            </w:r>
          </w:p>
        </w:tc>
        <w:tc>
          <w:tcPr>
            <w:tcW w:w="4235" w:type="dxa"/>
          </w:tcPr>
          <w:p w14:paraId="67F27EC5" w14:textId="5294F7CA" w:rsidR="00485528" w:rsidRPr="008A240E" w:rsidRDefault="008A240E" w:rsidP="00485528">
            <w:pPr>
              <w:rPr>
                <w:sz w:val="22"/>
                <w:szCs w:val="22"/>
              </w:rPr>
            </w:pPr>
            <w:r>
              <w:rPr>
                <w:sz w:val="22"/>
                <w:szCs w:val="22"/>
              </w:rPr>
              <w:t xml:space="preserve">Information from WHO, GAVI, partners </w:t>
            </w:r>
          </w:p>
        </w:tc>
        <w:tc>
          <w:tcPr>
            <w:tcW w:w="959" w:type="dxa"/>
          </w:tcPr>
          <w:p w14:paraId="5CF6392F" w14:textId="36DD5481" w:rsidR="00485528" w:rsidRPr="008A240E" w:rsidRDefault="00E46DDA" w:rsidP="00E15A3E">
            <w:pPr>
              <w:rPr>
                <w:sz w:val="22"/>
                <w:szCs w:val="22"/>
              </w:rPr>
            </w:pPr>
            <w:r>
              <w:rPr>
                <w:sz w:val="22"/>
                <w:szCs w:val="22"/>
              </w:rPr>
              <w:t>Important</w:t>
            </w:r>
            <w:r w:rsidR="00AC4455">
              <w:rPr>
                <w:sz w:val="22"/>
                <w:szCs w:val="22"/>
              </w:rPr>
              <w:br/>
            </w:r>
            <w:r>
              <w:rPr>
                <w:sz w:val="22"/>
                <w:szCs w:val="22"/>
              </w:rPr>
              <w:br/>
            </w:r>
          </w:p>
        </w:tc>
        <w:tc>
          <w:tcPr>
            <w:tcW w:w="2712" w:type="dxa"/>
          </w:tcPr>
          <w:p w14:paraId="6CFCB64F" w14:textId="371F61A1" w:rsidR="00485528" w:rsidRPr="008A240E" w:rsidRDefault="00104114" w:rsidP="00485528">
            <w:pPr>
              <w:rPr>
                <w:sz w:val="22"/>
                <w:szCs w:val="22"/>
              </w:rPr>
            </w:pPr>
            <w:r>
              <w:rPr>
                <w:sz w:val="22"/>
                <w:szCs w:val="22"/>
              </w:rPr>
              <w:t>WHO/GAVI/UNICEF</w:t>
            </w:r>
          </w:p>
        </w:tc>
      </w:tr>
      <w:tr w:rsidR="00485528" w:rsidRPr="00F41E79" w14:paraId="15C34871" w14:textId="77777777" w:rsidTr="00485528">
        <w:trPr>
          <w:cnfStyle w:val="000000100000" w:firstRow="0" w:lastRow="0" w:firstColumn="0" w:lastColumn="0" w:oddVBand="0" w:evenVBand="0" w:oddHBand="1" w:evenHBand="0" w:firstRowFirstColumn="0" w:firstRowLastColumn="0" w:lastRowFirstColumn="0" w:lastRowLastColumn="0"/>
          <w:trHeight w:val="20"/>
        </w:trPr>
        <w:tc>
          <w:tcPr>
            <w:tcW w:w="2052" w:type="dxa"/>
          </w:tcPr>
          <w:p w14:paraId="0F9FEC3D" w14:textId="030153A9" w:rsidR="00485528" w:rsidRPr="008A240E" w:rsidRDefault="00485528" w:rsidP="00485528">
            <w:pPr>
              <w:ind w:left="432" w:hanging="432"/>
              <w:rPr>
                <w:rFonts w:ascii="Arial" w:hAnsi="Arial" w:cs="Arial"/>
                <w:sz w:val="22"/>
                <w:szCs w:val="22"/>
              </w:rPr>
            </w:pPr>
            <w:r w:rsidRPr="008A240E">
              <w:rPr>
                <w:sz w:val="22"/>
                <w:szCs w:val="22"/>
              </w:rPr>
              <w:t>4.3</w:t>
            </w:r>
            <w:r w:rsidRPr="008A240E">
              <w:rPr>
                <w:sz w:val="22"/>
                <w:szCs w:val="22"/>
              </w:rPr>
              <w:tab/>
              <w:t>Vaccine affordability</w:t>
            </w:r>
          </w:p>
        </w:tc>
        <w:tc>
          <w:tcPr>
            <w:tcW w:w="4313" w:type="dxa"/>
          </w:tcPr>
          <w:p w14:paraId="64F33776" w14:textId="203DD4CE" w:rsidR="00485528" w:rsidRPr="008A240E" w:rsidRDefault="00BC283B" w:rsidP="00485528">
            <w:pPr>
              <w:ind w:left="288" w:hanging="288"/>
              <w:rPr>
                <w:sz w:val="22"/>
                <w:szCs w:val="22"/>
              </w:rPr>
            </w:pPr>
            <w:sdt>
              <w:sdtPr>
                <w:rPr>
                  <w:sz w:val="22"/>
                  <w:szCs w:val="22"/>
                </w:rPr>
                <w:id w:val="1778135977"/>
                <w14:checkbox>
                  <w14:checked w14:val="1"/>
                  <w14:checkedState w14:val="2612" w14:font="MS Gothic"/>
                  <w14:uncheckedState w14:val="2610" w14:font="MS Gothic"/>
                </w14:checkbox>
              </w:sdtPr>
              <w:sdtEndPr/>
              <w:sdtContent>
                <w:r w:rsidR="004D7E29">
                  <w:rPr>
                    <w:rFonts w:ascii="MS Gothic" w:eastAsia="MS Gothic" w:hAnsi="MS Gothic" w:hint="eastAsia"/>
                    <w:sz w:val="22"/>
                    <w:szCs w:val="22"/>
                  </w:rPr>
                  <w:t>☒</w:t>
                </w:r>
              </w:sdtContent>
            </w:sdt>
            <w:r w:rsidR="00485528" w:rsidRPr="008A240E">
              <w:rPr>
                <w:sz w:val="22"/>
                <w:szCs w:val="22"/>
              </w:rPr>
              <w:tab/>
              <w:t>Availability of fiscal space to effectively implement and sustain the recommendation in the programme</w:t>
            </w:r>
          </w:p>
          <w:p w14:paraId="0536A9E5" w14:textId="3DF1F5D1" w:rsidR="00485528" w:rsidRPr="008A240E" w:rsidRDefault="00BC283B" w:rsidP="00485528">
            <w:pPr>
              <w:ind w:left="288" w:hanging="288"/>
              <w:rPr>
                <w:sz w:val="22"/>
                <w:szCs w:val="22"/>
              </w:rPr>
            </w:pPr>
            <w:sdt>
              <w:sdtPr>
                <w:rPr>
                  <w:sz w:val="22"/>
                  <w:szCs w:val="22"/>
                </w:rPr>
                <w:id w:val="-571266360"/>
                <w14:checkbox>
                  <w14:checked w14:val="1"/>
                  <w14:checkedState w14:val="2612" w14:font="MS Gothic"/>
                  <w14:uncheckedState w14:val="2610" w14:font="MS Gothic"/>
                </w14:checkbox>
              </w:sdtPr>
              <w:sdtEndPr/>
              <w:sdtContent>
                <w:r w:rsidR="004D7E29">
                  <w:rPr>
                    <w:rFonts w:ascii="MS Gothic" w:eastAsia="MS Gothic" w:hAnsi="MS Gothic" w:hint="eastAsia"/>
                    <w:sz w:val="22"/>
                    <w:szCs w:val="22"/>
                  </w:rPr>
                  <w:t>☒</w:t>
                </w:r>
              </w:sdtContent>
            </w:sdt>
            <w:r w:rsidR="00485528" w:rsidRPr="008A240E">
              <w:rPr>
                <w:sz w:val="22"/>
                <w:szCs w:val="22"/>
              </w:rPr>
              <w:tab/>
              <w:t>Prevailing prices for the vaccine in the market and price estimations for the local community</w:t>
            </w:r>
          </w:p>
        </w:tc>
        <w:tc>
          <w:tcPr>
            <w:tcW w:w="4235" w:type="dxa"/>
          </w:tcPr>
          <w:p w14:paraId="5D55995F" w14:textId="77777777" w:rsidR="00485528" w:rsidRDefault="008A240E" w:rsidP="00485528">
            <w:pPr>
              <w:rPr>
                <w:sz w:val="22"/>
                <w:szCs w:val="22"/>
              </w:rPr>
            </w:pPr>
            <w:r>
              <w:rPr>
                <w:sz w:val="22"/>
                <w:szCs w:val="22"/>
              </w:rPr>
              <w:t>Resources to implement emergency</w:t>
            </w:r>
            <w:r w:rsidR="004D7E29">
              <w:rPr>
                <w:sz w:val="22"/>
                <w:szCs w:val="22"/>
              </w:rPr>
              <w:t>/outbreak</w:t>
            </w:r>
            <w:r>
              <w:rPr>
                <w:sz w:val="22"/>
                <w:szCs w:val="22"/>
              </w:rPr>
              <w:t xml:space="preserve"> vaccination program</w:t>
            </w:r>
          </w:p>
          <w:p w14:paraId="1D205F7B" w14:textId="4A5CDF4E" w:rsidR="00E46DDA" w:rsidRPr="008A240E" w:rsidRDefault="00E46DDA" w:rsidP="00AC4455">
            <w:pPr>
              <w:rPr>
                <w:sz w:val="22"/>
                <w:szCs w:val="22"/>
              </w:rPr>
            </w:pPr>
          </w:p>
        </w:tc>
        <w:tc>
          <w:tcPr>
            <w:tcW w:w="959" w:type="dxa"/>
          </w:tcPr>
          <w:p w14:paraId="7DFBA861" w14:textId="1D2D8547" w:rsidR="00485528" w:rsidRPr="008A240E" w:rsidRDefault="00E46DDA" w:rsidP="00E15A3E">
            <w:pPr>
              <w:rPr>
                <w:sz w:val="22"/>
                <w:szCs w:val="22"/>
              </w:rPr>
            </w:pPr>
            <w:r>
              <w:rPr>
                <w:sz w:val="22"/>
                <w:szCs w:val="22"/>
              </w:rPr>
              <w:t>Critical</w:t>
            </w:r>
            <w:r w:rsidR="00AC4455">
              <w:rPr>
                <w:sz w:val="22"/>
                <w:szCs w:val="22"/>
              </w:rPr>
              <w:br/>
            </w:r>
            <w:r w:rsidR="00AC4455">
              <w:rPr>
                <w:sz w:val="22"/>
                <w:szCs w:val="22"/>
              </w:rPr>
              <w:br/>
            </w:r>
            <w:r>
              <w:rPr>
                <w:sz w:val="22"/>
                <w:szCs w:val="22"/>
              </w:rPr>
              <w:br/>
            </w:r>
          </w:p>
        </w:tc>
        <w:tc>
          <w:tcPr>
            <w:tcW w:w="2712" w:type="dxa"/>
          </w:tcPr>
          <w:p w14:paraId="3A778202" w14:textId="0F1AA90E" w:rsidR="00485528" w:rsidRPr="008A240E" w:rsidRDefault="00104114" w:rsidP="00485528">
            <w:pPr>
              <w:rPr>
                <w:sz w:val="22"/>
                <w:szCs w:val="22"/>
              </w:rPr>
            </w:pPr>
            <w:r>
              <w:rPr>
                <w:sz w:val="22"/>
                <w:szCs w:val="22"/>
              </w:rPr>
              <w:t>Count</w:t>
            </w:r>
            <w:r w:rsidR="00E46DDA">
              <w:rPr>
                <w:sz w:val="22"/>
                <w:szCs w:val="22"/>
              </w:rPr>
              <w:t>r</w:t>
            </w:r>
            <w:r>
              <w:rPr>
                <w:sz w:val="22"/>
                <w:szCs w:val="22"/>
              </w:rPr>
              <w:t>y – MOF, MOH</w:t>
            </w:r>
          </w:p>
        </w:tc>
      </w:tr>
      <w:tr w:rsidR="00485528" w:rsidRPr="00F41E79" w14:paraId="74E4E4DF" w14:textId="77777777" w:rsidTr="00485528">
        <w:trPr>
          <w:trHeight w:val="20"/>
        </w:trPr>
        <w:tc>
          <w:tcPr>
            <w:tcW w:w="2052" w:type="dxa"/>
          </w:tcPr>
          <w:p w14:paraId="7FBED5FD" w14:textId="59373CF8" w:rsidR="00485528" w:rsidRPr="008A240E" w:rsidRDefault="00485528" w:rsidP="00485528">
            <w:pPr>
              <w:ind w:left="432" w:hanging="432"/>
              <w:rPr>
                <w:rFonts w:ascii="Arial" w:hAnsi="Arial" w:cs="Arial"/>
                <w:sz w:val="22"/>
                <w:szCs w:val="22"/>
              </w:rPr>
            </w:pPr>
            <w:r w:rsidRPr="008A240E">
              <w:rPr>
                <w:sz w:val="22"/>
                <w:szCs w:val="22"/>
              </w:rPr>
              <w:t>4.4</w:t>
            </w:r>
            <w:r w:rsidRPr="008A240E">
              <w:rPr>
                <w:sz w:val="22"/>
                <w:szCs w:val="22"/>
              </w:rPr>
              <w:tab/>
              <w:t xml:space="preserve">Socio-economic </w:t>
            </w:r>
          </w:p>
        </w:tc>
        <w:tc>
          <w:tcPr>
            <w:tcW w:w="4313" w:type="dxa"/>
          </w:tcPr>
          <w:p w14:paraId="372AEB35" w14:textId="1CA1A0D5" w:rsidR="00485528" w:rsidRPr="008A240E" w:rsidRDefault="00BC283B" w:rsidP="00485528">
            <w:pPr>
              <w:ind w:left="288" w:hanging="288"/>
              <w:rPr>
                <w:sz w:val="22"/>
                <w:szCs w:val="22"/>
              </w:rPr>
            </w:pPr>
            <w:sdt>
              <w:sdtPr>
                <w:rPr>
                  <w:sz w:val="22"/>
                  <w:szCs w:val="22"/>
                </w:rPr>
                <w:id w:val="-967514652"/>
                <w14:checkbox>
                  <w14:checked w14:val="1"/>
                  <w14:checkedState w14:val="2612" w14:font="MS Gothic"/>
                  <w14:uncheckedState w14:val="2610" w14:font="MS Gothic"/>
                </w14:checkbox>
              </w:sdtPr>
              <w:sdtEndPr/>
              <w:sdtContent>
                <w:r w:rsidR="004D7E29">
                  <w:rPr>
                    <w:rFonts w:ascii="MS Gothic" w:eastAsia="MS Gothic" w:hAnsi="MS Gothic" w:hint="eastAsia"/>
                    <w:sz w:val="22"/>
                    <w:szCs w:val="22"/>
                  </w:rPr>
                  <w:t>☒</w:t>
                </w:r>
              </w:sdtContent>
            </w:sdt>
            <w:r w:rsidR="00485528" w:rsidRPr="008A240E">
              <w:rPr>
                <w:sz w:val="22"/>
                <w:szCs w:val="22"/>
              </w:rPr>
              <w:tab/>
              <w:t>School and work absenteeism</w:t>
            </w:r>
          </w:p>
          <w:p w14:paraId="048E266D" w14:textId="5075C1C1" w:rsidR="00485528" w:rsidRPr="008A240E" w:rsidRDefault="00BC283B" w:rsidP="00485528">
            <w:pPr>
              <w:ind w:left="288" w:hanging="288"/>
              <w:rPr>
                <w:sz w:val="22"/>
                <w:szCs w:val="22"/>
              </w:rPr>
            </w:pPr>
            <w:sdt>
              <w:sdtPr>
                <w:rPr>
                  <w:sz w:val="22"/>
                  <w:szCs w:val="22"/>
                </w:rPr>
                <w:id w:val="-419254105"/>
                <w14:checkbox>
                  <w14:checked w14:val="1"/>
                  <w14:checkedState w14:val="2612" w14:font="MS Gothic"/>
                  <w14:uncheckedState w14:val="2610" w14:font="MS Gothic"/>
                </w14:checkbox>
              </w:sdtPr>
              <w:sdtEndPr/>
              <w:sdtContent>
                <w:r w:rsidR="004D7E29">
                  <w:rPr>
                    <w:rFonts w:ascii="MS Gothic" w:eastAsia="MS Gothic" w:hAnsi="MS Gothic" w:hint="eastAsia"/>
                    <w:sz w:val="22"/>
                    <w:szCs w:val="22"/>
                  </w:rPr>
                  <w:t>☒</w:t>
                </w:r>
              </w:sdtContent>
            </w:sdt>
            <w:r w:rsidR="00485528" w:rsidRPr="008A240E">
              <w:rPr>
                <w:sz w:val="22"/>
                <w:szCs w:val="22"/>
              </w:rPr>
              <w:tab/>
              <w:t>Indirect cost to patients and families</w:t>
            </w:r>
          </w:p>
          <w:p w14:paraId="57243AED" w14:textId="7A91838A" w:rsidR="00485528" w:rsidRPr="008A240E" w:rsidRDefault="00BC283B" w:rsidP="00485528">
            <w:pPr>
              <w:ind w:left="288" w:hanging="288"/>
              <w:rPr>
                <w:sz w:val="22"/>
                <w:szCs w:val="22"/>
              </w:rPr>
            </w:pPr>
            <w:sdt>
              <w:sdtPr>
                <w:rPr>
                  <w:sz w:val="22"/>
                  <w:szCs w:val="22"/>
                </w:rPr>
                <w:id w:val="1838268369"/>
                <w14:checkbox>
                  <w14:checked w14:val="1"/>
                  <w14:checkedState w14:val="2612" w14:font="MS Gothic"/>
                  <w14:uncheckedState w14:val="2610" w14:font="MS Gothic"/>
                </w14:checkbox>
              </w:sdtPr>
              <w:sdtEndPr/>
              <w:sdtContent>
                <w:r w:rsidR="004D7E29">
                  <w:rPr>
                    <w:rFonts w:ascii="MS Gothic" w:eastAsia="MS Gothic" w:hAnsi="MS Gothic" w:hint="eastAsia"/>
                    <w:sz w:val="22"/>
                    <w:szCs w:val="22"/>
                  </w:rPr>
                  <w:t>☒</w:t>
                </w:r>
              </w:sdtContent>
            </w:sdt>
            <w:r w:rsidR="00485528" w:rsidRPr="008A240E">
              <w:rPr>
                <w:sz w:val="22"/>
                <w:szCs w:val="22"/>
              </w:rPr>
              <w:tab/>
              <w:t>Productivity losses</w:t>
            </w:r>
          </w:p>
        </w:tc>
        <w:tc>
          <w:tcPr>
            <w:tcW w:w="4235" w:type="dxa"/>
          </w:tcPr>
          <w:p w14:paraId="23F58538" w14:textId="385134FC" w:rsidR="00485528" w:rsidRPr="008A240E" w:rsidRDefault="008A240E" w:rsidP="008A240E">
            <w:pPr>
              <w:rPr>
                <w:sz w:val="22"/>
                <w:szCs w:val="22"/>
              </w:rPr>
            </w:pPr>
            <w:r>
              <w:rPr>
                <w:sz w:val="22"/>
                <w:szCs w:val="22"/>
              </w:rPr>
              <w:t>Considerations of impact/cost of outbreak on each of these factors</w:t>
            </w:r>
            <w:r w:rsidR="00E46DDA">
              <w:rPr>
                <w:sz w:val="22"/>
                <w:szCs w:val="22"/>
              </w:rPr>
              <w:br/>
            </w:r>
            <w:r w:rsidR="00AC4455">
              <w:rPr>
                <w:sz w:val="22"/>
                <w:szCs w:val="22"/>
              </w:rPr>
              <w:t>Opportunity costs of not implementing the emergency/ outbreak vaccination program</w:t>
            </w:r>
          </w:p>
        </w:tc>
        <w:tc>
          <w:tcPr>
            <w:tcW w:w="959" w:type="dxa"/>
          </w:tcPr>
          <w:p w14:paraId="1D047722" w14:textId="7968630C" w:rsidR="00485528" w:rsidRPr="008A240E" w:rsidRDefault="00E15A3E" w:rsidP="00485528">
            <w:pPr>
              <w:rPr>
                <w:sz w:val="22"/>
                <w:szCs w:val="22"/>
              </w:rPr>
            </w:pPr>
            <w:r>
              <w:rPr>
                <w:sz w:val="22"/>
                <w:szCs w:val="22"/>
              </w:rPr>
              <w:t>Important</w:t>
            </w:r>
          </w:p>
        </w:tc>
        <w:tc>
          <w:tcPr>
            <w:tcW w:w="2712" w:type="dxa"/>
          </w:tcPr>
          <w:p w14:paraId="4F5B1942" w14:textId="30E933BD" w:rsidR="00485528" w:rsidRPr="008A240E" w:rsidRDefault="00104114" w:rsidP="00485528">
            <w:pPr>
              <w:rPr>
                <w:sz w:val="22"/>
                <w:szCs w:val="22"/>
              </w:rPr>
            </w:pPr>
            <w:r>
              <w:rPr>
                <w:sz w:val="22"/>
                <w:szCs w:val="22"/>
              </w:rPr>
              <w:t>Country data</w:t>
            </w:r>
          </w:p>
        </w:tc>
      </w:tr>
      <w:tr w:rsidR="00485528" w:rsidRPr="00F41E79" w14:paraId="79342B3F" w14:textId="77777777" w:rsidTr="00485528">
        <w:trPr>
          <w:cnfStyle w:val="000000100000" w:firstRow="0" w:lastRow="0" w:firstColumn="0" w:lastColumn="0" w:oddVBand="0" w:evenVBand="0" w:oddHBand="1" w:evenHBand="0" w:firstRowFirstColumn="0" w:firstRowLastColumn="0" w:lastRowFirstColumn="0" w:lastRowLastColumn="0"/>
          <w:trHeight w:val="20"/>
        </w:trPr>
        <w:tc>
          <w:tcPr>
            <w:tcW w:w="2052" w:type="dxa"/>
          </w:tcPr>
          <w:p w14:paraId="0C2D2E6F" w14:textId="22F50D14" w:rsidR="00485528" w:rsidRPr="008A240E" w:rsidRDefault="00485528" w:rsidP="00485528">
            <w:pPr>
              <w:ind w:left="432" w:hanging="432"/>
              <w:rPr>
                <w:rFonts w:ascii="Arial" w:hAnsi="Arial" w:cs="Arial"/>
                <w:sz w:val="22"/>
                <w:szCs w:val="22"/>
              </w:rPr>
            </w:pPr>
            <w:r w:rsidRPr="008A240E">
              <w:rPr>
                <w:sz w:val="22"/>
                <w:szCs w:val="22"/>
              </w:rPr>
              <w:t>4.5</w:t>
            </w:r>
            <w:r w:rsidRPr="008A240E">
              <w:rPr>
                <w:sz w:val="22"/>
                <w:szCs w:val="22"/>
              </w:rPr>
              <w:tab/>
              <w:t>Economic impact of intervention on immunization program and health sector</w:t>
            </w:r>
          </w:p>
        </w:tc>
        <w:tc>
          <w:tcPr>
            <w:tcW w:w="4313" w:type="dxa"/>
          </w:tcPr>
          <w:p w14:paraId="2E037422" w14:textId="68DB8AFC" w:rsidR="00485528" w:rsidRDefault="00BC283B" w:rsidP="00485528">
            <w:pPr>
              <w:ind w:left="288" w:hanging="288"/>
              <w:rPr>
                <w:sz w:val="22"/>
                <w:szCs w:val="22"/>
              </w:rPr>
            </w:pPr>
            <w:sdt>
              <w:sdtPr>
                <w:rPr>
                  <w:sz w:val="22"/>
                  <w:szCs w:val="22"/>
                </w:rPr>
                <w:id w:val="-1788810455"/>
                <w14:checkbox>
                  <w14:checked w14:val="1"/>
                  <w14:checkedState w14:val="2612" w14:font="MS Gothic"/>
                  <w14:uncheckedState w14:val="2610" w14:font="MS Gothic"/>
                </w14:checkbox>
              </w:sdtPr>
              <w:sdtEndPr/>
              <w:sdtContent>
                <w:r w:rsidR="004D7E29">
                  <w:rPr>
                    <w:rFonts w:ascii="MS Gothic" w:eastAsia="MS Gothic" w:hAnsi="MS Gothic" w:hint="eastAsia"/>
                    <w:sz w:val="22"/>
                    <w:szCs w:val="22"/>
                  </w:rPr>
                  <w:t>☒</w:t>
                </w:r>
              </w:sdtContent>
            </w:sdt>
            <w:r w:rsidR="00485528" w:rsidRPr="008A240E">
              <w:rPr>
                <w:sz w:val="22"/>
                <w:szCs w:val="22"/>
              </w:rPr>
              <w:tab/>
              <w:t>Reduction in healthcare costs</w:t>
            </w:r>
          </w:p>
          <w:p w14:paraId="496FDCC2" w14:textId="7CD0C619" w:rsidR="00AC4455" w:rsidRDefault="00AC4455" w:rsidP="00485528">
            <w:pPr>
              <w:ind w:left="288" w:hanging="288"/>
              <w:rPr>
                <w:sz w:val="22"/>
                <w:szCs w:val="22"/>
              </w:rPr>
            </w:pPr>
          </w:p>
          <w:p w14:paraId="704CAA96" w14:textId="1A795DC3" w:rsidR="00AC4455" w:rsidRDefault="00AC4455" w:rsidP="00485528">
            <w:pPr>
              <w:ind w:left="288" w:hanging="288"/>
              <w:rPr>
                <w:sz w:val="22"/>
                <w:szCs w:val="22"/>
              </w:rPr>
            </w:pPr>
          </w:p>
          <w:p w14:paraId="3D0EBB3C" w14:textId="4C045350" w:rsidR="00AC4455" w:rsidRDefault="00AC4455" w:rsidP="00485528">
            <w:pPr>
              <w:ind w:left="288" w:hanging="288"/>
              <w:rPr>
                <w:sz w:val="22"/>
                <w:szCs w:val="22"/>
              </w:rPr>
            </w:pPr>
          </w:p>
          <w:p w14:paraId="5CFD149A" w14:textId="77777777" w:rsidR="00AC4455" w:rsidRPr="008A240E" w:rsidRDefault="00AC4455" w:rsidP="00485528">
            <w:pPr>
              <w:ind w:left="288" w:hanging="288"/>
              <w:rPr>
                <w:sz w:val="22"/>
                <w:szCs w:val="22"/>
              </w:rPr>
            </w:pPr>
          </w:p>
          <w:p w14:paraId="3C5B0FB2" w14:textId="082A342B" w:rsidR="00485528" w:rsidRPr="008A240E" w:rsidRDefault="00BC283B" w:rsidP="00485528">
            <w:pPr>
              <w:ind w:left="288" w:hanging="288"/>
              <w:rPr>
                <w:sz w:val="22"/>
                <w:szCs w:val="22"/>
              </w:rPr>
            </w:pPr>
            <w:sdt>
              <w:sdtPr>
                <w:rPr>
                  <w:sz w:val="22"/>
                  <w:szCs w:val="22"/>
                </w:rPr>
                <w:id w:val="91204675"/>
                <w14:checkbox>
                  <w14:checked w14:val="1"/>
                  <w14:checkedState w14:val="2612" w14:font="MS Gothic"/>
                  <w14:uncheckedState w14:val="2610" w14:font="MS Gothic"/>
                </w14:checkbox>
              </w:sdtPr>
              <w:sdtEndPr/>
              <w:sdtContent>
                <w:r w:rsidR="004D7E29">
                  <w:rPr>
                    <w:rFonts w:ascii="MS Gothic" w:eastAsia="MS Gothic" w:hAnsi="MS Gothic" w:hint="eastAsia"/>
                    <w:sz w:val="22"/>
                    <w:szCs w:val="22"/>
                  </w:rPr>
                  <w:t>☒</w:t>
                </w:r>
              </w:sdtContent>
            </w:sdt>
            <w:r w:rsidR="00485528" w:rsidRPr="008A240E">
              <w:rPr>
                <w:sz w:val="22"/>
                <w:szCs w:val="22"/>
              </w:rPr>
              <w:tab/>
              <w:t xml:space="preserve">Cost-effectiveness ratio of vaccination program </w:t>
            </w:r>
          </w:p>
        </w:tc>
        <w:tc>
          <w:tcPr>
            <w:tcW w:w="4235" w:type="dxa"/>
          </w:tcPr>
          <w:p w14:paraId="3732CC27" w14:textId="6DA450AF" w:rsidR="00AC4455" w:rsidRDefault="004D7E29" w:rsidP="00485528">
            <w:pPr>
              <w:rPr>
                <w:sz w:val="22"/>
                <w:szCs w:val="22"/>
              </w:rPr>
            </w:pPr>
            <w:r>
              <w:rPr>
                <w:sz w:val="22"/>
                <w:szCs w:val="22"/>
              </w:rPr>
              <w:t xml:space="preserve">Reduction in </w:t>
            </w:r>
            <w:r w:rsidR="00AC4455">
              <w:rPr>
                <w:sz w:val="22"/>
                <w:szCs w:val="22"/>
              </w:rPr>
              <w:t xml:space="preserve">acute </w:t>
            </w:r>
            <w:r>
              <w:rPr>
                <w:sz w:val="22"/>
                <w:szCs w:val="22"/>
              </w:rPr>
              <w:t xml:space="preserve">healthcare costs due to </w:t>
            </w:r>
            <w:r w:rsidR="008A240E">
              <w:rPr>
                <w:sz w:val="22"/>
                <w:szCs w:val="22"/>
              </w:rPr>
              <w:t>vaccine outbreak response</w:t>
            </w:r>
          </w:p>
          <w:p w14:paraId="0CD5FC2A" w14:textId="6611D6EF" w:rsidR="00485528" w:rsidRDefault="00AC4455" w:rsidP="00485528">
            <w:pPr>
              <w:rPr>
                <w:sz w:val="22"/>
                <w:szCs w:val="22"/>
              </w:rPr>
            </w:pPr>
            <w:r>
              <w:rPr>
                <w:sz w:val="22"/>
                <w:szCs w:val="22"/>
              </w:rPr>
              <w:t>Costs incurred by the health system (e.g. to manage sequelae) in the absence of a quality vaccination program?</w:t>
            </w:r>
          </w:p>
          <w:p w14:paraId="0C76026C" w14:textId="659FED26" w:rsidR="008A240E" w:rsidRPr="008A240E" w:rsidRDefault="008A240E" w:rsidP="00AC4455">
            <w:pPr>
              <w:rPr>
                <w:sz w:val="22"/>
                <w:szCs w:val="22"/>
              </w:rPr>
            </w:pPr>
            <w:r>
              <w:rPr>
                <w:sz w:val="22"/>
                <w:szCs w:val="22"/>
              </w:rPr>
              <w:t>Cost-effectiveness at various outbreak intervention scenarios – high and low disease incidence</w:t>
            </w:r>
          </w:p>
        </w:tc>
        <w:tc>
          <w:tcPr>
            <w:tcW w:w="959" w:type="dxa"/>
          </w:tcPr>
          <w:p w14:paraId="2647AC26" w14:textId="3E38F6E2" w:rsidR="00485528" w:rsidRPr="008A240E" w:rsidRDefault="00E15A3E" w:rsidP="00485528">
            <w:pPr>
              <w:rPr>
                <w:sz w:val="22"/>
                <w:szCs w:val="22"/>
              </w:rPr>
            </w:pPr>
            <w:r>
              <w:rPr>
                <w:sz w:val="22"/>
                <w:szCs w:val="22"/>
              </w:rPr>
              <w:t>Important</w:t>
            </w:r>
          </w:p>
        </w:tc>
        <w:tc>
          <w:tcPr>
            <w:tcW w:w="2712" w:type="dxa"/>
          </w:tcPr>
          <w:p w14:paraId="7B74C920" w14:textId="77777777" w:rsidR="00485528" w:rsidRDefault="00104114" w:rsidP="00485528">
            <w:pPr>
              <w:rPr>
                <w:sz w:val="22"/>
                <w:szCs w:val="22"/>
              </w:rPr>
            </w:pPr>
            <w:r>
              <w:rPr>
                <w:sz w:val="22"/>
                <w:szCs w:val="22"/>
              </w:rPr>
              <w:t>Country data</w:t>
            </w:r>
          </w:p>
          <w:p w14:paraId="033602C1" w14:textId="3A0EED7F" w:rsidR="00104114" w:rsidRDefault="00104114" w:rsidP="00485528">
            <w:pPr>
              <w:rPr>
                <w:sz w:val="22"/>
                <w:szCs w:val="22"/>
              </w:rPr>
            </w:pPr>
          </w:p>
          <w:p w14:paraId="69B9E4CB" w14:textId="41DAE060" w:rsidR="00AC4455" w:rsidRDefault="00AC4455" w:rsidP="00485528">
            <w:pPr>
              <w:rPr>
                <w:sz w:val="22"/>
                <w:szCs w:val="22"/>
              </w:rPr>
            </w:pPr>
          </w:p>
          <w:p w14:paraId="04DE8F61" w14:textId="040353A0" w:rsidR="00AC4455" w:rsidRDefault="00AC4455" w:rsidP="00485528">
            <w:pPr>
              <w:rPr>
                <w:sz w:val="22"/>
                <w:szCs w:val="22"/>
              </w:rPr>
            </w:pPr>
          </w:p>
          <w:p w14:paraId="0EABD43B" w14:textId="77777777" w:rsidR="00AC4455" w:rsidRDefault="00AC4455" w:rsidP="00485528">
            <w:pPr>
              <w:rPr>
                <w:sz w:val="22"/>
                <w:szCs w:val="22"/>
              </w:rPr>
            </w:pPr>
          </w:p>
          <w:p w14:paraId="26A3E926" w14:textId="391C0718" w:rsidR="00104114" w:rsidRPr="008A240E" w:rsidRDefault="00104114" w:rsidP="00485528">
            <w:pPr>
              <w:rPr>
                <w:sz w:val="22"/>
                <w:szCs w:val="22"/>
              </w:rPr>
            </w:pPr>
            <w:r>
              <w:rPr>
                <w:sz w:val="22"/>
                <w:szCs w:val="22"/>
              </w:rPr>
              <w:t>No cost effectiveness data to present</w:t>
            </w:r>
          </w:p>
        </w:tc>
      </w:tr>
    </w:tbl>
    <w:p w14:paraId="27D592AC" w14:textId="77777777" w:rsidR="00780EA1" w:rsidRDefault="00780EA1" w:rsidP="00B70AE6"/>
    <w:p w14:paraId="36BA61F4" w14:textId="549578DF" w:rsidR="00485528" w:rsidRDefault="00485528">
      <w:pPr>
        <w:spacing w:after="200" w:line="276" w:lineRule="auto"/>
        <w:rPr>
          <w:rFonts w:asciiTheme="majorHAnsi" w:eastAsiaTheme="majorEastAsia" w:hAnsiTheme="majorHAnsi" w:cstheme="majorBidi"/>
          <w:color w:val="2C4F85" w:themeColor="accent1" w:themeShade="BF"/>
          <w:sz w:val="32"/>
          <w:szCs w:val="32"/>
          <w:lang w:val="en-GB"/>
        </w:rPr>
      </w:pPr>
    </w:p>
    <w:p w14:paraId="54569564" w14:textId="679885C1" w:rsidR="00223F71" w:rsidRPr="006D0A39" w:rsidRDefault="003F3A4E" w:rsidP="00223F71">
      <w:pPr>
        <w:rPr>
          <w:b/>
          <w:bCs/>
          <w:i/>
          <w:iCs/>
        </w:rPr>
      </w:pPr>
      <w:r>
        <w:rPr>
          <w:b/>
          <w:bCs/>
          <w:i/>
          <w:iCs/>
        </w:rPr>
        <w:lastRenderedPageBreak/>
        <w:t>PICO Question:</w:t>
      </w:r>
      <w:r w:rsidRPr="003F3A4E">
        <w:rPr>
          <w:b/>
          <w:bCs/>
          <w:i/>
          <w:iCs/>
        </w:rPr>
        <w:t xml:space="preserve">  </w:t>
      </w:r>
      <w:r w:rsidRPr="003F3A4E">
        <w:rPr>
          <w:rFonts w:ascii="Calibri" w:eastAsia="Calibri" w:hAnsi="Calibri" w:cs="Calibri"/>
          <w:color w:val="000000" w:themeColor="text1"/>
        </w:rPr>
        <w:t>In persons at high risk of mpox in the community during an mpox outbreak, what is the evidence that mpox vaccine is safe and can reduce the incidence of mpox infection, hospitalization, and death?</w:t>
      </w:r>
    </w:p>
    <w:p w14:paraId="5D308053" w14:textId="053E0109" w:rsidR="00B7452C" w:rsidRDefault="00B7452C" w:rsidP="00B7452C">
      <w:pPr>
        <w:pStyle w:val="Heading1"/>
      </w:pPr>
      <w:r>
        <w:t>Domain 5: Equity</w:t>
      </w:r>
    </w:p>
    <w:p w14:paraId="125EE383" w14:textId="5958AFF2" w:rsidR="00401AAB" w:rsidRDefault="00401AAB" w:rsidP="00B70AE6">
      <w:pPr>
        <w:rPr>
          <w:lang w:val="en-GB"/>
        </w:rPr>
      </w:pPr>
    </w:p>
    <w:tbl>
      <w:tblPr>
        <w:tblStyle w:val="GridTable4-Accent1"/>
        <w:tblW w:w="14271" w:type="dxa"/>
        <w:tblLook w:val="0420" w:firstRow="1" w:lastRow="0" w:firstColumn="0" w:lastColumn="0" w:noHBand="0" w:noVBand="1"/>
      </w:tblPr>
      <w:tblGrid>
        <w:gridCol w:w="2052"/>
        <w:gridCol w:w="4313"/>
        <w:gridCol w:w="4235"/>
        <w:gridCol w:w="959"/>
        <w:gridCol w:w="2712"/>
      </w:tblGrid>
      <w:tr w:rsidR="00780EA1" w14:paraId="4809AAEF" w14:textId="77777777" w:rsidTr="53C6BD78">
        <w:trPr>
          <w:cnfStyle w:val="100000000000" w:firstRow="1" w:lastRow="0" w:firstColumn="0" w:lastColumn="0" w:oddVBand="0" w:evenVBand="0" w:oddHBand="0" w:evenHBand="0" w:firstRowFirstColumn="0" w:firstRowLastColumn="0" w:lastRowFirstColumn="0" w:lastRowLastColumn="0"/>
          <w:trHeight w:val="20"/>
        </w:trPr>
        <w:tc>
          <w:tcPr>
            <w:tcW w:w="2052" w:type="dxa"/>
            <w:hideMark/>
          </w:tcPr>
          <w:p w14:paraId="7BC3F880" w14:textId="77777777" w:rsidR="00780EA1" w:rsidRPr="00757B7E" w:rsidRDefault="00780EA1" w:rsidP="00EF25F2">
            <w:pPr>
              <w:rPr>
                <w:rFonts w:ascii="Arial" w:hAnsi="Arial" w:cs="Arial"/>
              </w:rPr>
            </w:pPr>
            <w:r w:rsidRPr="00757B7E">
              <w:t>Element</w:t>
            </w:r>
          </w:p>
        </w:tc>
        <w:tc>
          <w:tcPr>
            <w:tcW w:w="4313" w:type="dxa"/>
            <w:hideMark/>
          </w:tcPr>
          <w:p w14:paraId="28213C5D" w14:textId="77777777" w:rsidR="00780EA1" w:rsidRPr="00757B7E" w:rsidRDefault="00780EA1" w:rsidP="00EF25F2">
            <w:pPr>
              <w:rPr>
                <w:rFonts w:ascii="Arial" w:hAnsi="Arial" w:cs="Arial"/>
              </w:rPr>
            </w:pPr>
            <w:r>
              <w:t>Categories</w:t>
            </w:r>
            <w:r w:rsidRPr="00757B7E">
              <w:t xml:space="preserve"> of Evidence</w:t>
            </w:r>
          </w:p>
        </w:tc>
        <w:tc>
          <w:tcPr>
            <w:tcW w:w="4235" w:type="dxa"/>
            <w:vAlign w:val="center"/>
          </w:tcPr>
          <w:p w14:paraId="1E158AFD" w14:textId="77777777" w:rsidR="00780EA1" w:rsidRDefault="00780EA1" w:rsidP="00EF25F2">
            <w:r w:rsidRPr="009503FB">
              <w:rPr>
                <w:rFonts w:ascii="Calibri" w:eastAsia="Times New Roman" w:hAnsi="Calibri" w:cs="Calibri"/>
                <w:kern w:val="24"/>
              </w:rPr>
              <w:t>PICO-Specific Evidence to Collect</w:t>
            </w:r>
          </w:p>
        </w:tc>
        <w:tc>
          <w:tcPr>
            <w:tcW w:w="959" w:type="dxa"/>
            <w:vAlign w:val="center"/>
          </w:tcPr>
          <w:p w14:paraId="3B81BF29" w14:textId="77777777" w:rsidR="00780EA1" w:rsidRDefault="00780EA1" w:rsidP="00EF25F2">
            <w:r w:rsidRPr="009503FB">
              <w:rPr>
                <w:rFonts w:ascii="Calibri" w:eastAsia="Times New Roman" w:hAnsi="Calibri" w:cs="Calibri"/>
                <w:kern w:val="24"/>
              </w:rPr>
              <w:t>Priority</w:t>
            </w:r>
          </w:p>
        </w:tc>
        <w:tc>
          <w:tcPr>
            <w:tcW w:w="2712" w:type="dxa"/>
          </w:tcPr>
          <w:p w14:paraId="7B8F6B05" w14:textId="77777777" w:rsidR="00780EA1" w:rsidRDefault="00780EA1" w:rsidP="00EF25F2">
            <w:r>
              <w:rPr>
                <w:rFonts w:ascii="Calibri" w:eastAsia="Times New Roman" w:hAnsi="Calibri" w:cs="Calibri"/>
                <w:kern w:val="24"/>
              </w:rPr>
              <w:t>Sources of Evidence</w:t>
            </w:r>
          </w:p>
        </w:tc>
      </w:tr>
      <w:tr w:rsidR="00104114" w:rsidRPr="00F41E79" w14:paraId="22407E1C" w14:textId="77777777" w:rsidTr="53C6BD78">
        <w:trPr>
          <w:cnfStyle w:val="000000100000" w:firstRow="0" w:lastRow="0" w:firstColumn="0" w:lastColumn="0" w:oddVBand="0" w:evenVBand="0" w:oddHBand="1" w:evenHBand="0" w:firstRowFirstColumn="0" w:firstRowLastColumn="0" w:lastRowFirstColumn="0" w:lastRowLastColumn="0"/>
          <w:trHeight w:val="20"/>
        </w:trPr>
        <w:tc>
          <w:tcPr>
            <w:tcW w:w="2052" w:type="dxa"/>
          </w:tcPr>
          <w:p w14:paraId="35EF6014" w14:textId="7A1E3DCF" w:rsidR="00104114" w:rsidRPr="00987CC9" w:rsidRDefault="00104114" w:rsidP="00485528">
            <w:pPr>
              <w:ind w:left="432" w:hanging="432"/>
              <w:rPr>
                <w:rFonts w:ascii="Arial" w:hAnsi="Arial" w:cs="Arial"/>
                <w:sz w:val="22"/>
                <w:szCs w:val="22"/>
              </w:rPr>
            </w:pPr>
            <w:r w:rsidRPr="00987CC9">
              <w:rPr>
                <w:sz w:val="22"/>
                <w:szCs w:val="22"/>
              </w:rPr>
              <w:t>5.1</w:t>
            </w:r>
            <w:r w:rsidRPr="00987CC9">
              <w:rPr>
                <w:sz w:val="22"/>
                <w:szCs w:val="22"/>
              </w:rPr>
              <w:tab/>
              <w:t>Equal access</w:t>
            </w:r>
          </w:p>
        </w:tc>
        <w:tc>
          <w:tcPr>
            <w:tcW w:w="4313" w:type="dxa"/>
          </w:tcPr>
          <w:p w14:paraId="3B459D28" w14:textId="035C010A" w:rsidR="00104114" w:rsidRPr="00987CC9" w:rsidRDefault="00BC283B" w:rsidP="00485528">
            <w:pPr>
              <w:ind w:left="288" w:hanging="288"/>
              <w:rPr>
                <w:sz w:val="22"/>
                <w:szCs w:val="22"/>
              </w:rPr>
            </w:pPr>
            <w:sdt>
              <w:sdtPr>
                <w:rPr>
                  <w:sz w:val="22"/>
                  <w:szCs w:val="22"/>
                </w:rPr>
                <w:id w:val="1562214391"/>
                <w14:checkbox>
                  <w14:checked w14:val="1"/>
                  <w14:checkedState w14:val="2612" w14:font="MS Gothic"/>
                  <w14:uncheckedState w14:val="2610" w14:font="MS Gothic"/>
                </w14:checkbox>
              </w:sdtPr>
              <w:sdtEndPr/>
              <w:sdtContent>
                <w:r w:rsidR="00104114">
                  <w:rPr>
                    <w:rFonts w:ascii="MS Gothic" w:eastAsia="MS Gothic" w:hAnsi="MS Gothic" w:hint="eastAsia"/>
                    <w:sz w:val="22"/>
                    <w:szCs w:val="22"/>
                  </w:rPr>
                  <w:t>☒</w:t>
                </w:r>
              </w:sdtContent>
            </w:sdt>
            <w:r w:rsidR="00104114" w:rsidRPr="00987CC9">
              <w:rPr>
                <w:sz w:val="22"/>
                <w:szCs w:val="22"/>
              </w:rPr>
              <w:tab/>
              <w:t>Universality, accessibility, and affordability of services for all the inhabitants in the country, including vulnerable, hard to reach and immigrant populations</w:t>
            </w:r>
          </w:p>
        </w:tc>
        <w:tc>
          <w:tcPr>
            <w:tcW w:w="4235" w:type="dxa"/>
          </w:tcPr>
          <w:p w14:paraId="4080C5B5" w14:textId="77777777" w:rsidR="00104114" w:rsidRDefault="00104114" w:rsidP="00485528">
            <w:pPr>
              <w:rPr>
                <w:sz w:val="22"/>
                <w:szCs w:val="22"/>
              </w:rPr>
            </w:pPr>
            <w:r>
              <w:rPr>
                <w:sz w:val="22"/>
                <w:szCs w:val="22"/>
              </w:rPr>
              <w:t>Focus for each of the target groups</w:t>
            </w:r>
          </w:p>
          <w:p w14:paraId="7E353BF2" w14:textId="2750807D" w:rsidR="00104114" w:rsidRDefault="2E458ED1" w:rsidP="00485528">
            <w:pPr>
              <w:rPr>
                <w:sz w:val="22"/>
                <w:szCs w:val="22"/>
              </w:rPr>
            </w:pPr>
            <w:r w:rsidRPr="53C6BD78">
              <w:rPr>
                <w:sz w:val="22"/>
                <w:szCs w:val="22"/>
              </w:rPr>
              <w:t xml:space="preserve">Strategies to reach the </w:t>
            </w:r>
            <w:r w:rsidR="00AC4455">
              <w:rPr>
                <w:sz w:val="22"/>
                <w:szCs w:val="22"/>
              </w:rPr>
              <w:t>m</w:t>
            </w:r>
            <w:r w:rsidRPr="53C6BD78">
              <w:rPr>
                <w:sz w:val="22"/>
                <w:szCs w:val="22"/>
              </w:rPr>
              <w:t>ost vulnerable and hard to reach population</w:t>
            </w:r>
            <w:r w:rsidR="00AC4455">
              <w:rPr>
                <w:sz w:val="22"/>
                <w:szCs w:val="22"/>
              </w:rPr>
              <w:t>s</w:t>
            </w:r>
          </w:p>
          <w:p w14:paraId="78AAE2B7" w14:textId="12205A4F" w:rsidR="00104114" w:rsidRPr="00987CC9" w:rsidRDefault="00104114" w:rsidP="00485528">
            <w:pPr>
              <w:rPr>
                <w:sz w:val="22"/>
                <w:szCs w:val="22"/>
              </w:rPr>
            </w:pPr>
            <w:r>
              <w:rPr>
                <w:sz w:val="22"/>
                <w:szCs w:val="22"/>
              </w:rPr>
              <w:t>Ensuring equity in face of potential limited vaccine supplies</w:t>
            </w:r>
          </w:p>
        </w:tc>
        <w:tc>
          <w:tcPr>
            <w:tcW w:w="959" w:type="dxa"/>
          </w:tcPr>
          <w:p w14:paraId="4EC888DB" w14:textId="2BEDEBC7" w:rsidR="00104114" w:rsidRPr="00987CC9" w:rsidRDefault="00584D58" w:rsidP="00485528">
            <w:pPr>
              <w:rPr>
                <w:sz w:val="22"/>
                <w:szCs w:val="22"/>
              </w:rPr>
            </w:pPr>
            <w:r>
              <w:rPr>
                <w:sz w:val="22"/>
                <w:szCs w:val="22"/>
              </w:rPr>
              <w:t>Critical</w:t>
            </w:r>
          </w:p>
        </w:tc>
        <w:tc>
          <w:tcPr>
            <w:tcW w:w="2712" w:type="dxa"/>
            <w:vMerge w:val="restart"/>
          </w:tcPr>
          <w:p w14:paraId="7E37157E" w14:textId="4DE6BB4E" w:rsidR="00104114" w:rsidRPr="00987CC9" w:rsidRDefault="00104114" w:rsidP="00AC4455">
            <w:pPr>
              <w:rPr>
                <w:sz w:val="22"/>
                <w:szCs w:val="22"/>
              </w:rPr>
            </w:pPr>
            <w:r>
              <w:rPr>
                <w:sz w:val="22"/>
                <w:szCs w:val="22"/>
              </w:rPr>
              <w:t>Country information</w:t>
            </w:r>
            <w:r w:rsidR="00AC4455">
              <w:rPr>
                <w:sz w:val="22"/>
                <w:szCs w:val="22"/>
              </w:rPr>
              <w:t xml:space="preserve"> – e.g. Ministry of Health, EPI programme;  surveys, focus groups</w:t>
            </w:r>
          </w:p>
        </w:tc>
      </w:tr>
      <w:tr w:rsidR="00104114" w:rsidRPr="00F41E79" w14:paraId="713B1852" w14:textId="77777777" w:rsidTr="53C6BD78">
        <w:trPr>
          <w:trHeight w:val="20"/>
        </w:trPr>
        <w:tc>
          <w:tcPr>
            <w:tcW w:w="2052" w:type="dxa"/>
          </w:tcPr>
          <w:p w14:paraId="1F32AB0D" w14:textId="37EFF600" w:rsidR="00104114" w:rsidRPr="00987CC9" w:rsidRDefault="00104114" w:rsidP="00485528">
            <w:pPr>
              <w:ind w:left="432" w:hanging="432"/>
              <w:rPr>
                <w:rFonts w:ascii="Arial" w:hAnsi="Arial" w:cs="Arial"/>
                <w:sz w:val="22"/>
                <w:szCs w:val="22"/>
              </w:rPr>
            </w:pPr>
            <w:r w:rsidRPr="00987CC9">
              <w:rPr>
                <w:sz w:val="22"/>
                <w:szCs w:val="22"/>
              </w:rPr>
              <w:t>5.2</w:t>
            </w:r>
            <w:r w:rsidRPr="00987CC9">
              <w:rPr>
                <w:sz w:val="22"/>
                <w:szCs w:val="22"/>
              </w:rPr>
              <w:tab/>
              <w:t>Ethics, legality</w:t>
            </w:r>
          </w:p>
        </w:tc>
        <w:tc>
          <w:tcPr>
            <w:tcW w:w="4313" w:type="dxa"/>
          </w:tcPr>
          <w:p w14:paraId="0BBD2AF4" w14:textId="77777777" w:rsidR="00104114" w:rsidRPr="00987CC9" w:rsidRDefault="00BC283B" w:rsidP="00485528">
            <w:pPr>
              <w:ind w:left="288" w:hanging="288"/>
              <w:rPr>
                <w:sz w:val="22"/>
                <w:szCs w:val="22"/>
              </w:rPr>
            </w:pPr>
            <w:sdt>
              <w:sdtPr>
                <w:rPr>
                  <w:sz w:val="22"/>
                  <w:szCs w:val="22"/>
                </w:rPr>
                <w:id w:val="302353358"/>
                <w14:checkbox>
                  <w14:checked w14:val="0"/>
                  <w14:checkedState w14:val="2612" w14:font="MS Gothic"/>
                  <w14:uncheckedState w14:val="2610" w14:font="MS Gothic"/>
                </w14:checkbox>
              </w:sdtPr>
              <w:sdtEndPr/>
              <w:sdtContent>
                <w:r w:rsidR="00104114" w:rsidRPr="00987CC9">
                  <w:rPr>
                    <w:rFonts w:ascii="Segoe UI Symbol" w:hAnsi="Segoe UI Symbol" w:cs="Segoe UI Symbol"/>
                    <w:sz w:val="22"/>
                    <w:szCs w:val="22"/>
                  </w:rPr>
                  <w:t>☐</w:t>
                </w:r>
              </w:sdtContent>
            </w:sdt>
            <w:r w:rsidR="00104114" w:rsidRPr="00987CC9">
              <w:rPr>
                <w:sz w:val="22"/>
                <w:szCs w:val="22"/>
              </w:rPr>
              <w:tab/>
              <w:t>Non-health related effects of vaccination</w:t>
            </w:r>
          </w:p>
          <w:p w14:paraId="73259B05" w14:textId="665CD6CF" w:rsidR="00104114" w:rsidRPr="00987CC9" w:rsidRDefault="00BC283B" w:rsidP="00485528">
            <w:pPr>
              <w:ind w:left="288" w:hanging="288"/>
              <w:rPr>
                <w:sz w:val="22"/>
                <w:szCs w:val="22"/>
              </w:rPr>
            </w:pPr>
            <w:sdt>
              <w:sdtPr>
                <w:rPr>
                  <w:sz w:val="22"/>
                  <w:szCs w:val="22"/>
                </w:rPr>
                <w:id w:val="-1647423532"/>
                <w14:checkbox>
                  <w14:checked w14:val="1"/>
                  <w14:checkedState w14:val="2612" w14:font="MS Gothic"/>
                  <w14:uncheckedState w14:val="2610" w14:font="MS Gothic"/>
                </w14:checkbox>
              </w:sdtPr>
              <w:sdtEndPr/>
              <w:sdtContent>
                <w:r w:rsidR="00104114">
                  <w:rPr>
                    <w:rFonts w:ascii="MS Gothic" w:eastAsia="MS Gothic" w:hAnsi="MS Gothic" w:hint="eastAsia"/>
                    <w:sz w:val="22"/>
                    <w:szCs w:val="22"/>
                  </w:rPr>
                  <w:t>☒</w:t>
                </w:r>
              </w:sdtContent>
            </w:sdt>
            <w:r w:rsidR="00104114" w:rsidRPr="00987CC9">
              <w:rPr>
                <w:sz w:val="22"/>
                <w:szCs w:val="22"/>
              </w:rPr>
              <w:tab/>
              <w:t>Ethical considerations</w:t>
            </w:r>
          </w:p>
          <w:p w14:paraId="75D8D202" w14:textId="0149A6F7" w:rsidR="00104114" w:rsidRPr="00987CC9" w:rsidRDefault="00BC283B" w:rsidP="00485528">
            <w:pPr>
              <w:ind w:left="288" w:hanging="288"/>
              <w:rPr>
                <w:sz w:val="22"/>
                <w:szCs w:val="22"/>
              </w:rPr>
            </w:pPr>
            <w:sdt>
              <w:sdtPr>
                <w:rPr>
                  <w:sz w:val="22"/>
                  <w:szCs w:val="22"/>
                </w:rPr>
                <w:id w:val="601772788"/>
                <w14:checkbox>
                  <w14:checked w14:val="1"/>
                  <w14:checkedState w14:val="2612" w14:font="MS Gothic"/>
                  <w14:uncheckedState w14:val="2610" w14:font="MS Gothic"/>
                </w14:checkbox>
              </w:sdtPr>
              <w:sdtEndPr/>
              <w:sdtContent>
                <w:r w:rsidR="00104114">
                  <w:rPr>
                    <w:rFonts w:ascii="MS Gothic" w:eastAsia="MS Gothic" w:hAnsi="MS Gothic" w:hint="eastAsia"/>
                    <w:sz w:val="22"/>
                    <w:szCs w:val="22"/>
                  </w:rPr>
                  <w:t>☒</w:t>
                </w:r>
              </w:sdtContent>
            </w:sdt>
            <w:r w:rsidR="00104114" w:rsidRPr="00987CC9">
              <w:rPr>
                <w:sz w:val="22"/>
                <w:szCs w:val="22"/>
              </w:rPr>
              <w:tab/>
              <w:t>Legal implications</w:t>
            </w:r>
          </w:p>
        </w:tc>
        <w:tc>
          <w:tcPr>
            <w:tcW w:w="4235" w:type="dxa"/>
          </w:tcPr>
          <w:p w14:paraId="1FE21439" w14:textId="77777777" w:rsidR="00104114" w:rsidRDefault="00104114" w:rsidP="00485528">
            <w:pPr>
              <w:rPr>
                <w:sz w:val="22"/>
                <w:szCs w:val="22"/>
              </w:rPr>
            </w:pPr>
            <w:r>
              <w:rPr>
                <w:sz w:val="22"/>
                <w:szCs w:val="22"/>
              </w:rPr>
              <w:t>Ethical and legal considerations for prioritizing specific target groups</w:t>
            </w:r>
          </w:p>
          <w:p w14:paraId="19FD9116" w14:textId="2D447330" w:rsidR="00AC4455" w:rsidRPr="00AC4455" w:rsidRDefault="00AC4455" w:rsidP="00485528">
            <w:pPr>
              <w:rPr>
                <w:sz w:val="22"/>
                <w:szCs w:val="22"/>
              </w:rPr>
            </w:pPr>
            <w:r w:rsidRPr="00AC4455">
              <w:rPr>
                <w:sz w:val="22"/>
                <w:szCs w:val="22"/>
              </w:rPr>
              <w:t>Ethical and legal considerations for vaccine requirements for groups with occupational exposure</w:t>
            </w:r>
          </w:p>
        </w:tc>
        <w:tc>
          <w:tcPr>
            <w:tcW w:w="959" w:type="dxa"/>
          </w:tcPr>
          <w:p w14:paraId="2FB3C44C" w14:textId="58E28BBA" w:rsidR="00104114" w:rsidRPr="00987CC9" w:rsidRDefault="00584D58" w:rsidP="00485528">
            <w:pPr>
              <w:rPr>
                <w:sz w:val="22"/>
                <w:szCs w:val="22"/>
              </w:rPr>
            </w:pPr>
            <w:r>
              <w:rPr>
                <w:sz w:val="22"/>
                <w:szCs w:val="22"/>
              </w:rPr>
              <w:t>Critical</w:t>
            </w:r>
          </w:p>
        </w:tc>
        <w:tc>
          <w:tcPr>
            <w:tcW w:w="2712" w:type="dxa"/>
            <w:vMerge/>
          </w:tcPr>
          <w:p w14:paraId="1E7E6024" w14:textId="77777777" w:rsidR="00104114" w:rsidRPr="00987CC9" w:rsidRDefault="00104114" w:rsidP="00485528">
            <w:pPr>
              <w:rPr>
                <w:sz w:val="22"/>
                <w:szCs w:val="22"/>
              </w:rPr>
            </w:pPr>
          </w:p>
        </w:tc>
      </w:tr>
      <w:tr w:rsidR="00104114" w:rsidRPr="00F41E79" w14:paraId="145F9AC7" w14:textId="77777777" w:rsidTr="53C6BD78">
        <w:trPr>
          <w:cnfStyle w:val="000000100000" w:firstRow="0" w:lastRow="0" w:firstColumn="0" w:lastColumn="0" w:oddVBand="0" w:evenVBand="0" w:oddHBand="1" w:evenHBand="0" w:firstRowFirstColumn="0" w:firstRowLastColumn="0" w:lastRowFirstColumn="0" w:lastRowLastColumn="0"/>
          <w:trHeight w:val="20"/>
        </w:trPr>
        <w:tc>
          <w:tcPr>
            <w:tcW w:w="2052" w:type="dxa"/>
          </w:tcPr>
          <w:p w14:paraId="0320FA6D" w14:textId="476E6800" w:rsidR="00104114" w:rsidRPr="00987CC9" w:rsidRDefault="00104114" w:rsidP="00485528">
            <w:pPr>
              <w:ind w:left="432" w:hanging="432"/>
              <w:rPr>
                <w:rFonts w:ascii="Arial" w:hAnsi="Arial" w:cs="Arial"/>
                <w:sz w:val="22"/>
                <w:szCs w:val="22"/>
              </w:rPr>
            </w:pPr>
            <w:r w:rsidRPr="00987CC9">
              <w:rPr>
                <w:sz w:val="22"/>
                <w:szCs w:val="22"/>
              </w:rPr>
              <w:t>5.3</w:t>
            </w:r>
            <w:r w:rsidRPr="00987CC9">
              <w:rPr>
                <w:sz w:val="22"/>
                <w:szCs w:val="22"/>
              </w:rPr>
              <w:tab/>
              <w:t>Stigma</w:t>
            </w:r>
          </w:p>
        </w:tc>
        <w:tc>
          <w:tcPr>
            <w:tcW w:w="4313" w:type="dxa"/>
          </w:tcPr>
          <w:p w14:paraId="2333EC29" w14:textId="3F1ABE88" w:rsidR="00104114" w:rsidRPr="00987CC9" w:rsidRDefault="00BC283B" w:rsidP="00485528">
            <w:pPr>
              <w:ind w:left="288" w:hanging="288"/>
              <w:rPr>
                <w:sz w:val="22"/>
                <w:szCs w:val="22"/>
              </w:rPr>
            </w:pPr>
            <w:sdt>
              <w:sdtPr>
                <w:rPr>
                  <w:sz w:val="22"/>
                  <w:szCs w:val="22"/>
                </w:rPr>
                <w:id w:val="533234710"/>
                <w14:checkbox>
                  <w14:checked w14:val="1"/>
                  <w14:checkedState w14:val="2612" w14:font="MS Gothic"/>
                  <w14:uncheckedState w14:val="2610" w14:font="MS Gothic"/>
                </w14:checkbox>
              </w:sdtPr>
              <w:sdtEndPr/>
              <w:sdtContent>
                <w:r w:rsidR="00104114">
                  <w:rPr>
                    <w:rFonts w:ascii="MS Gothic" w:eastAsia="MS Gothic" w:hAnsi="MS Gothic" w:hint="eastAsia"/>
                    <w:sz w:val="22"/>
                    <w:szCs w:val="22"/>
                  </w:rPr>
                  <w:t>☒</w:t>
                </w:r>
              </w:sdtContent>
            </w:sdt>
            <w:r w:rsidR="00104114" w:rsidRPr="00987CC9">
              <w:rPr>
                <w:sz w:val="22"/>
                <w:szCs w:val="22"/>
              </w:rPr>
              <w:tab/>
              <w:t>Stigma around the disease or around vaccination</w:t>
            </w:r>
          </w:p>
        </w:tc>
        <w:tc>
          <w:tcPr>
            <w:tcW w:w="4235" w:type="dxa"/>
          </w:tcPr>
          <w:p w14:paraId="19F79C18" w14:textId="31C8B692" w:rsidR="00104114" w:rsidRPr="00987CC9" w:rsidRDefault="01FD5A15" w:rsidP="00485528">
            <w:pPr>
              <w:rPr>
                <w:sz w:val="22"/>
                <w:szCs w:val="22"/>
              </w:rPr>
            </w:pPr>
            <w:r w:rsidRPr="53C6BD78">
              <w:rPr>
                <w:sz w:val="22"/>
                <w:szCs w:val="22"/>
              </w:rPr>
              <w:t xml:space="preserve">Stigma around disease </w:t>
            </w:r>
            <w:r w:rsidR="7A9B6F31" w:rsidRPr="53C6BD78">
              <w:rPr>
                <w:sz w:val="22"/>
                <w:szCs w:val="22"/>
              </w:rPr>
              <w:t xml:space="preserve">and vaccination </w:t>
            </w:r>
            <w:r w:rsidRPr="53C6BD78">
              <w:rPr>
                <w:sz w:val="22"/>
                <w:szCs w:val="22"/>
              </w:rPr>
              <w:t xml:space="preserve">for each of target groups </w:t>
            </w:r>
          </w:p>
        </w:tc>
        <w:tc>
          <w:tcPr>
            <w:tcW w:w="959" w:type="dxa"/>
          </w:tcPr>
          <w:p w14:paraId="4B2BFBDE" w14:textId="236D8E08" w:rsidR="00104114" w:rsidRPr="00987CC9" w:rsidRDefault="00584D58" w:rsidP="00485528">
            <w:pPr>
              <w:rPr>
                <w:sz w:val="22"/>
                <w:szCs w:val="22"/>
              </w:rPr>
            </w:pPr>
            <w:r>
              <w:rPr>
                <w:sz w:val="22"/>
                <w:szCs w:val="22"/>
              </w:rPr>
              <w:t>Critical</w:t>
            </w:r>
          </w:p>
        </w:tc>
        <w:tc>
          <w:tcPr>
            <w:tcW w:w="2712" w:type="dxa"/>
            <w:vMerge/>
          </w:tcPr>
          <w:p w14:paraId="716A417F" w14:textId="77777777" w:rsidR="00104114" w:rsidRPr="00987CC9" w:rsidRDefault="00104114" w:rsidP="00485528">
            <w:pPr>
              <w:rPr>
                <w:sz w:val="22"/>
                <w:szCs w:val="22"/>
              </w:rPr>
            </w:pPr>
          </w:p>
        </w:tc>
      </w:tr>
    </w:tbl>
    <w:p w14:paraId="3A62CFA0" w14:textId="77777777" w:rsidR="00780EA1" w:rsidRDefault="00780EA1" w:rsidP="00B70AE6">
      <w:pPr>
        <w:rPr>
          <w:lang w:val="en-GB"/>
        </w:rPr>
      </w:pPr>
    </w:p>
    <w:p w14:paraId="6AD59D39" w14:textId="77777777" w:rsidR="00F35418" w:rsidRDefault="00F35418">
      <w:pPr>
        <w:spacing w:after="200" w:line="276" w:lineRule="auto"/>
        <w:rPr>
          <w:rFonts w:asciiTheme="majorHAnsi" w:eastAsiaTheme="majorEastAsia" w:hAnsiTheme="majorHAnsi" w:cstheme="majorBidi"/>
          <w:color w:val="2C4F85" w:themeColor="accent1" w:themeShade="BF"/>
          <w:sz w:val="32"/>
          <w:szCs w:val="32"/>
          <w:lang w:val="en-GB"/>
        </w:rPr>
      </w:pPr>
      <w:bookmarkStart w:id="5" w:name="_Domain_6:_Acceptability"/>
      <w:bookmarkEnd w:id="5"/>
      <w:r>
        <w:br w:type="page"/>
      </w:r>
    </w:p>
    <w:p w14:paraId="18ADFA04" w14:textId="045FA2C6" w:rsidR="00223F71" w:rsidRPr="006D0A39" w:rsidRDefault="00223F71" w:rsidP="00223F71">
      <w:pPr>
        <w:rPr>
          <w:b/>
          <w:bCs/>
          <w:i/>
          <w:iCs/>
        </w:rPr>
      </w:pPr>
      <w:r w:rsidRPr="006D0A39">
        <w:rPr>
          <w:b/>
          <w:bCs/>
          <w:i/>
          <w:iCs/>
        </w:rPr>
        <w:lastRenderedPageBreak/>
        <w:t xml:space="preserve">PICO Question:  </w:t>
      </w:r>
      <w:r w:rsidR="003F3A4E" w:rsidRPr="003F3A4E">
        <w:rPr>
          <w:rFonts w:ascii="Calibri" w:eastAsia="Calibri" w:hAnsi="Calibri" w:cs="Calibri"/>
          <w:color w:val="000000" w:themeColor="text1"/>
        </w:rPr>
        <w:t>In persons at high risk of mpox in the community during an mpox outbreak, what is the evidence that mpox vaccine is safe and can reduce the incidence of mpox infection, hospitalization, and death?</w:t>
      </w:r>
    </w:p>
    <w:p w14:paraId="7597400A" w14:textId="2A64747D" w:rsidR="00463DEE" w:rsidRDefault="00575675" w:rsidP="00B7452C">
      <w:pPr>
        <w:pStyle w:val="Heading1"/>
      </w:pPr>
      <w:r>
        <w:t xml:space="preserve">Domain </w:t>
      </w:r>
      <w:r w:rsidR="00B7452C">
        <w:t>6</w:t>
      </w:r>
      <w:r>
        <w:t>: Acceptability</w:t>
      </w:r>
    </w:p>
    <w:p w14:paraId="541E488F" w14:textId="12F21992" w:rsidR="00463DEE" w:rsidRDefault="00463DEE"/>
    <w:tbl>
      <w:tblPr>
        <w:tblStyle w:val="GridTable4-Accent1"/>
        <w:tblW w:w="14271" w:type="dxa"/>
        <w:tblLook w:val="0420" w:firstRow="1" w:lastRow="0" w:firstColumn="0" w:lastColumn="0" w:noHBand="0" w:noVBand="1"/>
      </w:tblPr>
      <w:tblGrid>
        <w:gridCol w:w="2047"/>
        <w:gridCol w:w="4254"/>
        <w:gridCol w:w="4168"/>
        <w:gridCol w:w="1635"/>
        <w:gridCol w:w="2167"/>
      </w:tblGrid>
      <w:tr w:rsidR="00780EA1" w14:paraId="6AAE5A81" w14:textId="77777777" w:rsidTr="00AC4455">
        <w:trPr>
          <w:cnfStyle w:val="100000000000" w:firstRow="1" w:lastRow="0" w:firstColumn="0" w:lastColumn="0" w:oddVBand="0" w:evenVBand="0" w:oddHBand="0" w:evenHBand="0" w:firstRowFirstColumn="0" w:firstRowLastColumn="0" w:lastRowFirstColumn="0" w:lastRowLastColumn="0"/>
          <w:trHeight w:val="20"/>
        </w:trPr>
        <w:tc>
          <w:tcPr>
            <w:tcW w:w="2047" w:type="dxa"/>
            <w:hideMark/>
          </w:tcPr>
          <w:p w14:paraId="5AD16E88" w14:textId="77777777" w:rsidR="00780EA1" w:rsidRPr="00757B7E" w:rsidRDefault="00780EA1" w:rsidP="00EF25F2">
            <w:pPr>
              <w:rPr>
                <w:rFonts w:ascii="Arial" w:hAnsi="Arial" w:cs="Arial"/>
              </w:rPr>
            </w:pPr>
            <w:r w:rsidRPr="00757B7E">
              <w:t>Element</w:t>
            </w:r>
          </w:p>
        </w:tc>
        <w:tc>
          <w:tcPr>
            <w:tcW w:w="4254" w:type="dxa"/>
            <w:hideMark/>
          </w:tcPr>
          <w:p w14:paraId="2F8A390A" w14:textId="77777777" w:rsidR="00780EA1" w:rsidRPr="00757B7E" w:rsidRDefault="00780EA1" w:rsidP="00EF25F2">
            <w:pPr>
              <w:rPr>
                <w:rFonts w:ascii="Arial" w:hAnsi="Arial" w:cs="Arial"/>
              </w:rPr>
            </w:pPr>
            <w:r>
              <w:t>Categories</w:t>
            </w:r>
            <w:r w:rsidRPr="00757B7E">
              <w:t xml:space="preserve"> of Evidence</w:t>
            </w:r>
          </w:p>
        </w:tc>
        <w:tc>
          <w:tcPr>
            <w:tcW w:w="4168" w:type="dxa"/>
            <w:vAlign w:val="center"/>
          </w:tcPr>
          <w:p w14:paraId="64BB021B" w14:textId="77777777" w:rsidR="00780EA1" w:rsidRDefault="00780EA1" w:rsidP="00EF25F2">
            <w:r w:rsidRPr="009503FB">
              <w:rPr>
                <w:rFonts w:ascii="Calibri" w:eastAsia="Times New Roman" w:hAnsi="Calibri" w:cs="Calibri"/>
                <w:kern w:val="24"/>
              </w:rPr>
              <w:t>PICO-Specific Evidence to Collect</w:t>
            </w:r>
          </w:p>
        </w:tc>
        <w:tc>
          <w:tcPr>
            <w:tcW w:w="1635" w:type="dxa"/>
            <w:vAlign w:val="center"/>
          </w:tcPr>
          <w:p w14:paraId="754CBEF7" w14:textId="77777777" w:rsidR="00780EA1" w:rsidRDefault="00780EA1" w:rsidP="00EF25F2">
            <w:r w:rsidRPr="009503FB">
              <w:rPr>
                <w:rFonts w:ascii="Calibri" w:eastAsia="Times New Roman" w:hAnsi="Calibri" w:cs="Calibri"/>
                <w:kern w:val="24"/>
              </w:rPr>
              <w:t>Priority</w:t>
            </w:r>
          </w:p>
        </w:tc>
        <w:tc>
          <w:tcPr>
            <w:tcW w:w="2167" w:type="dxa"/>
          </w:tcPr>
          <w:p w14:paraId="1C46FEEC" w14:textId="77777777" w:rsidR="00780EA1" w:rsidRDefault="00780EA1" w:rsidP="00EF25F2">
            <w:r>
              <w:rPr>
                <w:rFonts w:ascii="Calibri" w:eastAsia="Times New Roman" w:hAnsi="Calibri" w:cs="Calibri"/>
                <w:kern w:val="24"/>
              </w:rPr>
              <w:t>Sources of Evidence</w:t>
            </w:r>
          </w:p>
        </w:tc>
      </w:tr>
      <w:tr w:rsidR="00104114" w:rsidRPr="00F41E79" w14:paraId="3C547351" w14:textId="77777777" w:rsidTr="00AC4455">
        <w:trPr>
          <w:cnfStyle w:val="000000100000" w:firstRow="0" w:lastRow="0" w:firstColumn="0" w:lastColumn="0" w:oddVBand="0" w:evenVBand="0" w:oddHBand="1" w:evenHBand="0" w:firstRowFirstColumn="0" w:firstRowLastColumn="0" w:lastRowFirstColumn="0" w:lastRowLastColumn="0"/>
          <w:trHeight w:val="20"/>
        </w:trPr>
        <w:tc>
          <w:tcPr>
            <w:tcW w:w="2047" w:type="dxa"/>
          </w:tcPr>
          <w:p w14:paraId="3DD2FE99" w14:textId="46BE41B3" w:rsidR="00104114" w:rsidRPr="00987CC9" w:rsidRDefault="00104114" w:rsidP="00485528">
            <w:pPr>
              <w:ind w:left="432" w:hanging="432"/>
              <w:rPr>
                <w:rFonts w:ascii="Arial" w:hAnsi="Arial" w:cs="Arial"/>
                <w:sz w:val="22"/>
                <w:szCs w:val="22"/>
              </w:rPr>
            </w:pPr>
            <w:r w:rsidRPr="00987CC9">
              <w:rPr>
                <w:sz w:val="22"/>
                <w:szCs w:val="22"/>
              </w:rPr>
              <w:t>6.1</w:t>
            </w:r>
            <w:r w:rsidRPr="00987CC9">
              <w:rPr>
                <w:sz w:val="22"/>
                <w:szCs w:val="22"/>
              </w:rPr>
              <w:tab/>
              <w:t>Related to disease and vaccine</w:t>
            </w:r>
          </w:p>
        </w:tc>
        <w:tc>
          <w:tcPr>
            <w:tcW w:w="4254" w:type="dxa"/>
          </w:tcPr>
          <w:p w14:paraId="627E1776" w14:textId="26BBB761" w:rsidR="00104114" w:rsidRPr="00987CC9" w:rsidRDefault="00BC283B" w:rsidP="00485528">
            <w:pPr>
              <w:ind w:left="288" w:hanging="288"/>
              <w:rPr>
                <w:sz w:val="22"/>
                <w:szCs w:val="22"/>
              </w:rPr>
            </w:pPr>
            <w:sdt>
              <w:sdtPr>
                <w:rPr>
                  <w:sz w:val="22"/>
                  <w:szCs w:val="22"/>
                </w:rPr>
                <w:id w:val="586803209"/>
                <w14:checkbox>
                  <w14:checked w14:val="1"/>
                  <w14:checkedState w14:val="2612" w14:font="MS Gothic"/>
                  <w14:uncheckedState w14:val="2610" w14:font="MS Gothic"/>
                </w14:checkbox>
              </w:sdtPr>
              <w:sdtEndPr/>
              <w:sdtContent>
                <w:r w:rsidR="005C2CDA">
                  <w:rPr>
                    <w:rFonts w:ascii="MS Gothic" w:eastAsia="MS Gothic" w:hAnsi="MS Gothic" w:hint="eastAsia"/>
                    <w:sz w:val="22"/>
                    <w:szCs w:val="22"/>
                  </w:rPr>
                  <w:t>☒</w:t>
                </w:r>
              </w:sdtContent>
            </w:sdt>
            <w:r w:rsidR="00104114" w:rsidRPr="00987CC9">
              <w:rPr>
                <w:sz w:val="22"/>
                <w:szCs w:val="22"/>
              </w:rPr>
              <w:tab/>
            </w:r>
            <w:r w:rsidR="01FD5A15" w:rsidRPr="00987CC9">
              <w:rPr>
                <w:sz w:val="22"/>
                <w:szCs w:val="22"/>
              </w:rPr>
              <w:t>Perception of the public, stakeholders, and medical community about disease and vaccine (balances of benefits and harms)</w:t>
            </w:r>
          </w:p>
        </w:tc>
        <w:tc>
          <w:tcPr>
            <w:tcW w:w="4168" w:type="dxa"/>
          </w:tcPr>
          <w:p w14:paraId="76AD4110" w14:textId="77777777" w:rsidR="00104114" w:rsidRDefault="00104114" w:rsidP="00987CC9">
            <w:pPr>
              <w:rPr>
                <w:sz w:val="22"/>
                <w:szCs w:val="22"/>
              </w:rPr>
            </w:pPr>
            <w:r>
              <w:rPr>
                <w:sz w:val="22"/>
                <w:szCs w:val="22"/>
              </w:rPr>
              <w:t>Identification of stakeholders, and perceptions of stakeholders re. each of the target vaccination groups</w:t>
            </w:r>
          </w:p>
          <w:p w14:paraId="1A56E894" w14:textId="4407739D" w:rsidR="00AC4455" w:rsidRPr="00987CC9" w:rsidRDefault="00AC4455" w:rsidP="00987CC9">
            <w:pPr>
              <w:rPr>
                <w:sz w:val="22"/>
                <w:szCs w:val="22"/>
              </w:rPr>
            </w:pPr>
            <w:r>
              <w:rPr>
                <w:sz w:val="22"/>
                <w:szCs w:val="22"/>
              </w:rPr>
              <w:t xml:space="preserve">Management of misinformation, rumors, anti-vaccine information </w:t>
            </w:r>
          </w:p>
        </w:tc>
        <w:tc>
          <w:tcPr>
            <w:tcW w:w="1635" w:type="dxa"/>
          </w:tcPr>
          <w:p w14:paraId="13254006" w14:textId="579D7E5F" w:rsidR="00104114" w:rsidRPr="00987CC9" w:rsidRDefault="00D23EBF" w:rsidP="00485528">
            <w:pPr>
              <w:rPr>
                <w:sz w:val="22"/>
                <w:szCs w:val="22"/>
              </w:rPr>
            </w:pPr>
            <w:r>
              <w:rPr>
                <w:sz w:val="22"/>
                <w:szCs w:val="22"/>
              </w:rPr>
              <w:t>Important</w:t>
            </w:r>
          </w:p>
        </w:tc>
        <w:tc>
          <w:tcPr>
            <w:tcW w:w="2167" w:type="dxa"/>
            <w:vMerge w:val="restart"/>
          </w:tcPr>
          <w:p w14:paraId="1715D9E2" w14:textId="1F593C5D" w:rsidR="00104114" w:rsidRPr="00987CC9" w:rsidRDefault="005C2CDA" w:rsidP="005C2CDA">
            <w:pPr>
              <w:rPr>
                <w:sz w:val="22"/>
                <w:szCs w:val="22"/>
              </w:rPr>
            </w:pPr>
            <w:r>
              <w:rPr>
                <w:sz w:val="22"/>
                <w:szCs w:val="22"/>
              </w:rPr>
              <w:t xml:space="preserve">Country information  – MOH information, KAP surveys, focus groups, other studies  </w:t>
            </w:r>
          </w:p>
        </w:tc>
      </w:tr>
      <w:tr w:rsidR="00104114" w:rsidRPr="00F41E79" w14:paraId="1A14E6F6" w14:textId="77777777" w:rsidTr="00AC4455">
        <w:trPr>
          <w:trHeight w:val="20"/>
        </w:trPr>
        <w:tc>
          <w:tcPr>
            <w:tcW w:w="2047" w:type="dxa"/>
          </w:tcPr>
          <w:p w14:paraId="0ED8B775" w14:textId="5D9A2E84" w:rsidR="00104114" w:rsidRPr="00987CC9" w:rsidRDefault="00104114" w:rsidP="00485528">
            <w:pPr>
              <w:ind w:left="432" w:hanging="432"/>
              <w:rPr>
                <w:rFonts w:ascii="Arial" w:hAnsi="Arial" w:cs="Arial"/>
                <w:sz w:val="22"/>
                <w:szCs w:val="22"/>
              </w:rPr>
            </w:pPr>
            <w:r w:rsidRPr="00987CC9">
              <w:rPr>
                <w:sz w:val="22"/>
                <w:szCs w:val="22"/>
              </w:rPr>
              <w:t>6.2</w:t>
            </w:r>
            <w:r w:rsidRPr="00987CC9">
              <w:rPr>
                <w:sz w:val="22"/>
                <w:szCs w:val="22"/>
              </w:rPr>
              <w:tab/>
              <w:t>Related to other interventions</w:t>
            </w:r>
          </w:p>
        </w:tc>
        <w:tc>
          <w:tcPr>
            <w:tcW w:w="4254" w:type="dxa"/>
          </w:tcPr>
          <w:p w14:paraId="2B02AC7E" w14:textId="516C679E" w:rsidR="00104114" w:rsidRPr="00987CC9" w:rsidRDefault="00BC283B" w:rsidP="00485528">
            <w:pPr>
              <w:ind w:left="288" w:hanging="288"/>
              <w:rPr>
                <w:sz w:val="22"/>
                <w:szCs w:val="22"/>
              </w:rPr>
            </w:pPr>
            <w:sdt>
              <w:sdtPr>
                <w:rPr>
                  <w:sz w:val="22"/>
                  <w:szCs w:val="22"/>
                </w:rPr>
                <w:id w:val="1274520723"/>
                <w14:checkbox>
                  <w14:checked w14:val="1"/>
                  <w14:checkedState w14:val="2612" w14:font="MS Gothic"/>
                  <w14:uncheckedState w14:val="2610" w14:font="MS Gothic"/>
                </w14:checkbox>
              </w:sdtPr>
              <w:sdtEndPr/>
              <w:sdtContent>
                <w:r w:rsidR="005C2CDA">
                  <w:rPr>
                    <w:rFonts w:ascii="MS Gothic" w:eastAsia="MS Gothic" w:hAnsi="MS Gothic" w:hint="eastAsia"/>
                    <w:sz w:val="22"/>
                    <w:szCs w:val="22"/>
                  </w:rPr>
                  <w:t>☒</w:t>
                </w:r>
              </w:sdtContent>
            </w:sdt>
            <w:r w:rsidR="00104114" w:rsidRPr="00987CC9">
              <w:rPr>
                <w:sz w:val="22"/>
                <w:szCs w:val="22"/>
              </w:rPr>
              <w:tab/>
              <w:t xml:space="preserve">Impacts of program on efficacy and safety of other vaccines and health care interventions </w:t>
            </w:r>
          </w:p>
        </w:tc>
        <w:tc>
          <w:tcPr>
            <w:tcW w:w="4168" w:type="dxa"/>
          </w:tcPr>
          <w:p w14:paraId="20A01EF7" w14:textId="19EF2F66" w:rsidR="00104114" w:rsidRPr="00987CC9" w:rsidRDefault="00104114" w:rsidP="00485528">
            <w:pPr>
              <w:rPr>
                <w:sz w:val="22"/>
                <w:szCs w:val="22"/>
              </w:rPr>
            </w:pPr>
            <w:r>
              <w:rPr>
                <w:sz w:val="22"/>
                <w:szCs w:val="22"/>
              </w:rPr>
              <w:t>Impact on childhood vaccination programs, other important health interventions (eg. malaria, polio, measles control programs)</w:t>
            </w:r>
          </w:p>
        </w:tc>
        <w:tc>
          <w:tcPr>
            <w:tcW w:w="1635" w:type="dxa"/>
          </w:tcPr>
          <w:p w14:paraId="39D09E42" w14:textId="2E39CB51" w:rsidR="00104114" w:rsidRPr="00987CC9" w:rsidRDefault="00D23EBF" w:rsidP="00485528">
            <w:pPr>
              <w:rPr>
                <w:sz w:val="22"/>
                <w:szCs w:val="22"/>
              </w:rPr>
            </w:pPr>
            <w:r>
              <w:rPr>
                <w:sz w:val="22"/>
                <w:szCs w:val="22"/>
              </w:rPr>
              <w:t>Important</w:t>
            </w:r>
          </w:p>
        </w:tc>
        <w:tc>
          <w:tcPr>
            <w:tcW w:w="2167" w:type="dxa"/>
            <w:vMerge/>
          </w:tcPr>
          <w:p w14:paraId="13540A1E" w14:textId="77777777" w:rsidR="00104114" w:rsidRPr="00987CC9" w:rsidRDefault="00104114" w:rsidP="00485528">
            <w:pPr>
              <w:rPr>
                <w:sz w:val="22"/>
                <w:szCs w:val="22"/>
              </w:rPr>
            </w:pPr>
          </w:p>
        </w:tc>
      </w:tr>
      <w:tr w:rsidR="00104114" w:rsidRPr="00F41E79" w14:paraId="3663EC14" w14:textId="77777777" w:rsidTr="00AC4455">
        <w:trPr>
          <w:cnfStyle w:val="000000100000" w:firstRow="0" w:lastRow="0" w:firstColumn="0" w:lastColumn="0" w:oddVBand="0" w:evenVBand="0" w:oddHBand="1" w:evenHBand="0" w:firstRowFirstColumn="0" w:firstRowLastColumn="0" w:lastRowFirstColumn="0" w:lastRowLastColumn="0"/>
          <w:trHeight w:val="20"/>
        </w:trPr>
        <w:tc>
          <w:tcPr>
            <w:tcW w:w="2047" w:type="dxa"/>
          </w:tcPr>
          <w:p w14:paraId="2EED187A" w14:textId="73F82102" w:rsidR="00104114" w:rsidRPr="00987CC9" w:rsidRDefault="00104114" w:rsidP="00485528">
            <w:pPr>
              <w:ind w:left="432" w:hanging="432"/>
              <w:rPr>
                <w:rFonts w:ascii="Arial" w:hAnsi="Arial" w:cs="Arial"/>
                <w:sz w:val="22"/>
                <w:szCs w:val="22"/>
              </w:rPr>
            </w:pPr>
            <w:r w:rsidRPr="00987CC9">
              <w:rPr>
                <w:sz w:val="22"/>
                <w:szCs w:val="22"/>
              </w:rPr>
              <w:t>6.3</w:t>
            </w:r>
            <w:r w:rsidRPr="00987CC9">
              <w:rPr>
                <w:sz w:val="22"/>
                <w:szCs w:val="22"/>
              </w:rPr>
              <w:tab/>
              <w:t>Related to ethics, program, finances</w:t>
            </w:r>
          </w:p>
        </w:tc>
        <w:tc>
          <w:tcPr>
            <w:tcW w:w="4254" w:type="dxa"/>
          </w:tcPr>
          <w:p w14:paraId="58D0C122" w14:textId="6B01A3FC" w:rsidR="00104114" w:rsidRPr="00987CC9" w:rsidRDefault="00BC283B" w:rsidP="00485528">
            <w:pPr>
              <w:ind w:left="288" w:hanging="288"/>
              <w:rPr>
                <w:sz w:val="22"/>
                <w:szCs w:val="22"/>
              </w:rPr>
            </w:pPr>
            <w:sdt>
              <w:sdtPr>
                <w:rPr>
                  <w:sz w:val="22"/>
                  <w:szCs w:val="22"/>
                </w:rPr>
                <w:id w:val="-1565099155"/>
                <w14:checkbox>
                  <w14:checked w14:val="1"/>
                  <w14:checkedState w14:val="2612" w14:font="MS Gothic"/>
                  <w14:uncheckedState w14:val="2610" w14:font="MS Gothic"/>
                </w14:checkbox>
              </w:sdtPr>
              <w:sdtEndPr/>
              <w:sdtContent>
                <w:r w:rsidR="005C2CDA">
                  <w:rPr>
                    <w:rFonts w:ascii="MS Gothic" w:eastAsia="MS Gothic" w:hAnsi="MS Gothic" w:hint="eastAsia"/>
                    <w:sz w:val="22"/>
                    <w:szCs w:val="22"/>
                  </w:rPr>
                  <w:t>☒</w:t>
                </w:r>
              </w:sdtContent>
            </w:sdt>
            <w:r w:rsidR="00104114" w:rsidRPr="00987CC9">
              <w:rPr>
                <w:sz w:val="22"/>
                <w:szCs w:val="22"/>
              </w:rPr>
              <w:tab/>
              <w:t xml:space="preserve">Ethical, programmatic, or financial issues that may affect acceptability of intervention by stakeholders </w:t>
            </w:r>
          </w:p>
        </w:tc>
        <w:tc>
          <w:tcPr>
            <w:tcW w:w="4168" w:type="dxa"/>
          </w:tcPr>
          <w:p w14:paraId="26547F5F" w14:textId="73722519" w:rsidR="00104114" w:rsidRPr="00987CC9" w:rsidRDefault="5E4BC71C" w:rsidP="53C6BD78">
            <w:pPr>
              <w:rPr>
                <w:sz w:val="22"/>
                <w:szCs w:val="22"/>
              </w:rPr>
            </w:pPr>
            <w:r w:rsidRPr="53C6BD78">
              <w:rPr>
                <w:sz w:val="22"/>
                <w:szCs w:val="22"/>
              </w:rPr>
              <w:t xml:space="preserve">Financial access for vaccine procurement </w:t>
            </w:r>
          </w:p>
          <w:p w14:paraId="5B8E13C3" w14:textId="4CFFADFA" w:rsidR="00104114" w:rsidRPr="00987CC9" w:rsidRDefault="00104114" w:rsidP="00485528">
            <w:pPr>
              <w:rPr>
                <w:sz w:val="22"/>
                <w:szCs w:val="22"/>
              </w:rPr>
            </w:pPr>
          </w:p>
        </w:tc>
        <w:tc>
          <w:tcPr>
            <w:tcW w:w="1635" w:type="dxa"/>
          </w:tcPr>
          <w:p w14:paraId="7498F495" w14:textId="1A195B00" w:rsidR="00104114" w:rsidRPr="00987CC9" w:rsidRDefault="00D23EBF" w:rsidP="00485528">
            <w:pPr>
              <w:rPr>
                <w:sz w:val="22"/>
                <w:szCs w:val="22"/>
              </w:rPr>
            </w:pPr>
            <w:r>
              <w:rPr>
                <w:sz w:val="22"/>
                <w:szCs w:val="22"/>
              </w:rPr>
              <w:t>Important</w:t>
            </w:r>
          </w:p>
        </w:tc>
        <w:tc>
          <w:tcPr>
            <w:tcW w:w="2167" w:type="dxa"/>
            <w:vMerge/>
          </w:tcPr>
          <w:p w14:paraId="2AEBE2AE" w14:textId="77777777" w:rsidR="00104114" w:rsidRPr="00987CC9" w:rsidRDefault="00104114" w:rsidP="00485528">
            <w:pPr>
              <w:rPr>
                <w:sz w:val="22"/>
                <w:szCs w:val="22"/>
              </w:rPr>
            </w:pPr>
          </w:p>
        </w:tc>
      </w:tr>
    </w:tbl>
    <w:p w14:paraId="6CCBA04C" w14:textId="77777777" w:rsidR="00780EA1" w:rsidRDefault="00780EA1"/>
    <w:p w14:paraId="484CB40D" w14:textId="77777777" w:rsidR="00485528" w:rsidRDefault="00485528">
      <w:pPr>
        <w:spacing w:after="200" w:line="276" w:lineRule="auto"/>
        <w:rPr>
          <w:rFonts w:asciiTheme="majorHAnsi" w:eastAsiaTheme="majorEastAsia" w:hAnsiTheme="majorHAnsi" w:cstheme="majorBidi"/>
          <w:color w:val="2C4F85" w:themeColor="accent1" w:themeShade="BF"/>
          <w:sz w:val="32"/>
          <w:szCs w:val="32"/>
          <w:lang w:val="en-GB"/>
        </w:rPr>
      </w:pPr>
      <w:bookmarkStart w:id="6" w:name="_Domain_7:_Feasibility"/>
      <w:bookmarkEnd w:id="6"/>
      <w:r>
        <w:br w:type="page"/>
      </w:r>
    </w:p>
    <w:p w14:paraId="655D3960" w14:textId="09E4CF68" w:rsidR="00223F71" w:rsidRPr="006D0A39" w:rsidRDefault="003F3A4E" w:rsidP="00223F71">
      <w:pPr>
        <w:rPr>
          <w:b/>
          <w:bCs/>
          <w:i/>
          <w:iCs/>
        </w:rPr>
      </w:pPr>
      <w:r>
        <w:rPr>
          <w:b/>
          <w:bCs/>
          <w:i/>
          <w:iCs/>
        </w:rPr>
        <w:lastRenderedPageBreak/>
        <w:t>PICO Question:</w:t>
      </w:r>
      <w:r w:rsidRPr="003F3A4E">
        <w:rPr>
          <w:b/>
          <w:bCs/>
          <w:i/>
          <w:iCs/>
        </w:rPr>
        <w:t xml:space="preserve">  </w:t>
      </w:r>
      <w:r w:rsidRPr="003F3A4E">
        <w:rPr>
          <w:rFonts w:ascii="Calibri" w:eastAsia="Calibri" w:hAnsi="Calibri" w:cs="Calibri"/>
          <w:color w:val="000000" w:themeColor="text1"/>
        </w:rPr>
        <w:t>In persons at high risk of mpox in the community during an mpox outbreak, what is the evidence that mpox vaccine is safe and can reduce the incidence of mpox infection, hospitalization, and death?</w:t>
      </w:r>
    </w:p>
    <w:p w14:paraId="72AC123B" w14:textId="19AACB7A" w:rsidR="00B7452C" w:rsidRDefault="00B7452C" w:rsidP="00B7452C">
      <w:pPr>
        <w:pStyle w:val="Heading1"/>
      </w:pPr>
      <w:r>
        <w:t>Domain 7: Feasibility</w:t>
      </w:r>
    </w:p>
    <w:bookmarkEnd w:id="1"/>
    <w:p w14:paraId="7EEE6EA3" w14:textId="61873635" w:rsidR="00217989" w:rsidRDefault="00217989" w:rsidP="009F5676"/>
    <w:tbl>
      <w:tblPr>
        <w:tblStyle w:val="GridTable4-Accent1"/>
        <w:tblW w:w="14271" w:type="dxa"/>
        <w:tblLook w:val="0420" w:firstRow="1" w:lastRow="0" w:firstColumn="0" w:lastColumn="0" w:noHBand="0" w:noVBand="1"/>
      </w:tblPr>
      <w:tblGrid>
        <w:gridCol w:w="2052"/>
        <w:gridCol w:w="4313"/>
        <w:gridCol w:w="4235"/>
        <w:gridCol w:w="959"/>
        <w:gridCol w:w="2712"/>
      </w:tblGrid>
      <w:tr w:rsidR="00780EA1" w14:paraId="40F9C683" w14:textId="77777777" w:rsidTr="00485528">
        <w:trPr>
          <w:cnfStyle w:val="100000000000" w:firstRow="1" w:lastRow="0" w:firstColumn="0" w:lastColumn="0" w:oddVBand="0" w:evenVBand="0" w:oddHBand="0" w:evenHBand="0" w:firstRowFirstColumn="0" w:firstRowLastColumn="0" w:lastRowFirstColumn="0" w:lastRowLastColumn="0"/>
          <w:trHeight w:val="20"/>
        </w:trPr>
        <w:tc>
          <w:tcPr>
            <w:tcW w:w="2052" w:type="dxa"/>
            <w:hideMark/>
          </w:tcPr>
          <w:p w14:paraId="3C0EBE1E" w14:textId="77777777" w:rsidR="00780EA1" w:rsidRPr="00757B7E" w:rsidRDefault="00780EA1" w:rsidP="00EF25F2">
            <w:pPr>
              <w:rPr>
                <w:rFonts w:ascii="Arial" w:hAnsi="Arial" w:cs="Arial"/>
              </w:rPr>
            </w:pPr>
            <w:r w:rsidRPr="00757B7E">
              <w:t>Element</w:t>
            </w:r>
          </w:p>
        </w:tc>
        <w:tc>
          <w:tcPr>
            <w:tcW w:w="4313" w:type="dxa"/>
            <w:hideMark/>
          </w:tcPr>
          <w:p w14:paraId="1CA06110" w14:textId="77777777" w:rsidR="00780EA1" w:rsidRPr="00757B7E" w:rsidRDefault="00780EA1" w:rsidP="00EF25F2">
            <w:pPr>
              <w:rPr>
                <w:rFonts w:ascii="Arial" w:hAnsi="Arial" w:cs="Arial"/>
              </w:rPr>
            </w:pPr>
            <w:r>
              <w:t>Categories</w:t>
            </w:r>
            <w:r w:rsidRPr="00757B7E">
              <w:t xml:space="preserve"> of Evidence</w:t>
            </w:r>
          </w:p>
        </w:tc>
        <w:tc>
          <w:tcPr>
            <w:tcW w:w="4235" w:type="dxa"/>
            <w:vAlign w:val="center"/>
          </w:tcPr>
          <w:p w14:paraId="4FB86652" w14:textId="77777777" w:rsidR="00780EA1" w:rsidRDefault="00780EA1" w:rsidP="00EF25F2">
            <w:r w:rsidRPr="009503FB">
              <w:rPr>
                <w:rFonts w:ascii="Calibri" w:eastAsia="Times New Roman" w:hAnsi="Calibri" w:cs="Calibri"/>
                <w:kern w:val="24"/>
              </w:rPr>
              <w:t>PICO-Specific Evidence to Collect</w:t>
            </w:r>
          </w:p>
        </w:tc>
        <w:tc>
          <w:tcPr>
            <w:tcW w:w="959" w:type="dxa"/>
            <w:vAlign w:val="center"/>
          </w:tcPr>
          <w:p w14:paraId="703A4AE0" w14:textId="77777777" w:rsidR="00780EA1" w:rsidRDefault="00780EA1" w:rsidP="00EF25F2">
            <w:r w:rsidRPr="009503FB">
              <w:rPr>
                <w:rFonts w:ascii="Calibri" w:eastAsia="Times New Roman" w:hAnsi="Calibri" w:cs="Calibri"/>
                <w:kern w:val="24"/>
              </w:rPr>
              <w:t>Priority</w:t>
            </w:r>
          </w:p>
        </w:tc>
        <w:tc>
          <w:tcPr>
            <w:tcW w:w="2712" w:type="dxa"/>
          </w:tcPr>
          <w:p w14:paraId="07577395" w14:textId="77777777" w:rsidR="00780EA1" w:rsidRDefault="00780EA1" w:rsidP="00EF25F2">
            <w:r>
              <w:rPr>
                <w:rFonts w:ascii="Calibri" w:eastAsia="Times New Roman" w:hAnsi="Calibri" w:cs="Calibri"/>
                <w:kern w:val="24"/>
              </w:rPr>
              <w:t>Sources of Evidence</w:t>
            </w:r>
          </w:p>
        </w:tc>
      </w:tr>
      <w:tr w:rsidR="00485528" w:rsidRPr="00F41E79" w14:paraId="69DEF492" w14:textId="77777777" w:rsidTr="00485528">
        <w:trPr>
          <w:cnfStyle w:val="000000100000" w:firstRow="0" w:lastRow="0" w:firstColumn="0" w:lastColumn="0" w:oddVBand="0" w:evenVBand="0" w:oddHBand="1" w:evenHBand="0" w:firstRowFirstColumn="0" w:firstRowLastColumn="0" w:lastRowFirstColumn="0" w:lastRowLastColumn="0"/>
          <w:trHeight w:val="20"/>
        </w:trPr>
        <w:tc>
          <w:tcPr>
            <w:tcW w:w="2052" w:type="dxa"/>
          </w:tcPr>
          <w:p w14:paraId="49416FF3" w14:textId="368D9E44" w:rsidR="00485528" w:rsidRPr="00987CC9" w:rsidRDefault="00485528" w:rsidP="00485528">
            <w:pPr>
              <w:ind w:left="432" w:hanging="432"/>
              <w:rPr>
                <w:rFonts w:ascii="Arial" w:hAnsi="Arial" w:cs="Arial"/>
                <w:sz w:val="22"/>
                <w:szCs w:val="22"/>
              </w:rPr>
            </w:pPr>
            <w:r w:rsidRPr="00987CC9">
              <w:rPr>
                <w:sz w:val="22"/>
                <w:szCs w:val="22"/>
              </w:rPr>
              <w:t>7.1</w:t>
            </w:r>
            <w:r w:rsidRPr="00987CC9">
              <w:rPr>
                <w:sz w:val="22"/>
                <w:szCs w:val="22"/>
              </w:rPr>
              <w:tab/>
              <w:t>Accessibility</w:t>
            </w:r>
          </w:p>
        </w:tc>
        <w:tc>
          <w:tcPr>
            <w:tcW w:w="4313" w:type="dxa"/>
          </w:tcPr>
          <w:p w14:paraId="6E708761" w14:textId="27963594" w:rsidR="00485528" w:rsidRPr="00987CC9" w:rsidRDefault="00BC283B" w:rsidP="00485528">
            <w:pPr>
              <w:ind w:left="288" w:hanging="288"/>
              <w:rPr>
                <w:sz w:val="22"/>
                <w:szCs w:val="22"/>
              </w:rPr>
            </w:pPr>
            <w:sdt>
              <w:sdtPr>
                <w:rPr>
                  <w:sz w:val="22"/>
                  <w:szCs w:val="22"/>
                </w:rPr>
                <w:id w:val="208545818"/>
                <w14:checkbox>
                  <w14:checked w14:val="1"/>
                  <w14:checkedState w14:val="2612" w14:font="MS Gothic"/>
                  <w14:uncheckedState w14:val="2610" w14:font="MS Gothic"/>
                </w14:checkbox>
              </w:sdtPr>
              <w:sdtEndPr/>
              <w:sdtContent>
                <w:r w:rsidR="005C2CDA">
                  <w:rPr>
                    <w:rFonts w:ascii="MS Gothic" w:eastAsia="MS Gothic" w:hAnsi="MS Gothic" w:hint="eastAsia"/>
                    <w:sz w:val="22"/>
                    <w:szCs w:val="22"/>
                  </w:rPr>
                  <w:t>☒</w:t>
                </w:r>
              </w:sdtContent>
            </w:sdt>
            <w:r w:rsidR="00485528" w:rsidRPr="00987CC9">
              <w:rPr>
                <w:sz w:val="22"/>
                <w:szCs w:val="22"/>
              </w:rPr>
              <w:tab/>
              <w:t xml:space="preserve">Accessibility of target population </w:t>
            </w:r>
          </w:p>
        </w:tc>
        <w:tc>
          <w:tcPr>
            <w:tcW w:w="4235" w:type="dxa"/>
          </w:tcPr>
          <w:p w14:paraId="6E0686BA" w14:textId="75AFC93E" w:rsidR="00485528" w:rsidRPr="00987CC9" w:rsidRDefault="00987CC9" w:rsidP="00485528">
            <w:pPr>
              <w:rPr>
                <w:sz w:val="22"/>
                <w:szCs w:val="22"/>
              </w:rPr>
            </w:pPr>
            <w:r>
              <w:rPr>
                <w:sz w:val="22"/>
                <w:szCs w:val="22"/>
              </w:rPr>
              <w:t xml:space="preserve">Accessibility of each of the target populations, especially rural or disadvantaged </w:t>
            </w:r>
          </w:p>
        </w:tc>
        <w:tc>
          <w:tcPr>
            <w:tcW w:w="959" w:type="dxa"/>
          </w:tcPr>
          <w:p w14:paraId="0B6B7C65" w14:textId="465D1AF4" w:rsidR="00485528" w:rsidRPr="00987CC9" w:rsidRDefault="001D6B2D" w:rsidP="00485528">
            <w:pPr>
              <w:rPr>
                <w:sz w:val="22"/>
                <w:szCs w:val="22"/>
              </w:rPr>
            </w:pPr>
            <w:r>
              <w:rPr>
                <w:sz w:val="22"/>
                <w:szCs w:val="22"/>
              </w:rPr>
              <w:t>Critical</w:t>
            </w:r>
          </w:p>
        </w:tc>
        <w:tc>
          <w:tcPr>
            <w:tcW w:w="2712" w:type="dxa"/>
          </w:tcPr>
          <w:p w14:paraId="358FD4AE" w14:textId="7B5831CD" w:rsidR="00485528" w:rsidRPr="00987CC9" w:rsidRDefault="00104114" w:rsidP="00485528">
            <w:pPr>
              <w:rPr>
                <w:sz w:val="22"/>
                <w:szCs w:val="22"/>
              </w:rPr>
            </w:pPr>
            <w:r>
              <w:rPr>
                <w:sz w:val="22"/>
                <w:szCs w:val="22"/>
              </w:rPr>
              <w:t>Country information , EPI program</w:t>
            </w:r>
          </w:p>
        </w:tc>
      </w:tr>
      <w:tr w:rsidR="00485528" w:rsidRPr="00F41E79" w14:paraId="57092984" w14:textId="77777777" w:rsidTr="00485528">
        <w:trPr>
          <w:trHeight w:val="20"/>
        </w:trPr>
        <w:tc>
          <w:tcPr>
            <w:tcW w:w="2052" w:type="dxa"/>
          </w:tcPr>
          <w:p w14:paraId="29596B51" w14:textId="22E49565" w:rsidR="00485528" w:rsidRPr="00987CC9" w:rsidRDefault="00485528" w:rsidP="00485528">
            <w:pPr>
              <w:ind w:left="432" w:hanging="432"/>
              <w:rPr>
                <w:rFonts w:ascii="Arial" w:hAnsi="Arial" w:cs="Arial"/>
                <w:sz w:val="22"/>
                <w:szCs w:val="22"/>
              </w:rPr>
            </w:pPr>
            <w:r w:rsidRPr="00987CC9">
              <w:rPr>
                <w:sz w:val="22"/>
                <w:szCs w:val="22"/>
              </w:rPr>
              <w:t>7.2</w:t>
            </w:r>
            <w:r w:rsidRPr="00987CC9">
              <w:rPr>
                <w:sz w:val="22"/>
                <w:szCs w:val="22"/>
              </w:rPr>
              <w:tab/>
              <w:t>Resources for vaccine storage, distribution, and administration</w:t>
            </w:r>
          </w:p>
        </w:tc>
        <w:tc>
          <w:tcPr>
            <w:tcW w:w="4313" w:type="dxa"/>
          </w:tcPr>
          <w:p w14:paraId="6676D9F1" w14:textId="1854153A" w:rsidR="00485528" w:rsidRPr="00987CC9" w:rsidRDefault="00BC283B" w:rsidP="00485528">
            <w:pPr>
              <w:ind w:left="288" w:hanging="288"/>
              <w:rPr>
                <w:sz w:val="22"/>
                <w:szCs w:val="22"/>
              </w:rPr>
            </w:pPr>
            <w:sdt>
              <w:sdtPr>
                <w:rPr>
                  <w:sz w:val="22"/>
                  <w:szCs w:val="22"/>
                </w:rPr>
                <w:id w:val="-2057309033"/>
                <w14:checkbox>
                  <w14:checked w14:val="1"/>
                  <w14:checkedState w14:val="2612" w14:font="MS Gothic"/>
                  <w14:uncheckedState w14:val="2610" w14:font="MS Gothic"/>
                </w14:checkbox>
              </w:sdtPr>
              <w:sdtEndPr/>
              <w:sdtContent>
                <w:r w:rsidR="005C2CDA">
                  <w:rPr>
                    <w:rFonts w:ascii="MS Gothic" w:eastAsia="MS Gothic" w:hAnsi="MS Gothic" w:hint="eastAsia"/>
                    <w:sz w:val="22"/>
                    <w:szCs w:val="22"/>
                  </w:rPr>
                  <w:t>☒</w:t>
                </w:r>
              </w:sdtContent>
            </w:sdt>
            <w:r w:rsidR="00485528" w:rsidRPr="00987CC9">
              <w:rPr>
                <w:sz w:val="22"/>
                <w:szCs w:val="22"/>
              </w:rPr>
              <w:tab/>
              <w:t xml:space="preserve">Availability of resources for vaccine storage, distribution, and administration —physical (cold chain storage), human, technical, and financial </w:t>
            </w:r>
          </w:p>
        </w:tc>
        <w:tc>
          <w:tcPr>
            <w:tcW w:w="4235" w:type="dxa"/>
          </w:tcPr>
          <w:p w14:paraId="59153AD1" w14:textId="77777777" w:rsidR="00485528" w:rsidRDefault="00987CC9" w:rsidP="00987CC9">
            <w:pPr>
              <w:rPr>
                <w:sz w:val="22"/>
                <w:szCs w:val="22"/>
              </w:rPr>
            </w:pPr>
            <w:r>
              <w:rPr>
                <w:sz w:val="22"/>
                <w:szCs w:val="22"/>
              </w:rPr>
              <w:t xml:space="preserve">Vaccine storage, cold-chain, health care and public health workers, etc </w:t>
            </w:r>
          </w:p>
          <w:p w14:paraId="7893D262" w14:textId="00DED9E6" w:rsidR="005C2CDA" w:rsidRPr="00987CC9" w:rsidRDefault="005C2CDA" w:rsidP="00987CC9">
            <w:pPr>
              <w:rPr>
                <w:sz w:val="22"/>
                <w:szCs w:val="22"/>
              </w:rPr>
            </w:pPr>
            <w:r>
              <w:rPr>
                <w:sz w:val="22"/>
                <w:szCs w:val="22"/>
              </w:rPr>
              <w:t xml:space="preserve">Vial size, doses and cold chain storage and transport for each of the vaccines </w:t>
            </w:r>
          </w:p>
        </w:tc>
        <w:tc>
          <w:tcPr>
            <w:tcW w:w="959" w:type="dxa"/>
          </w:tcPr>
          <w:p w14:paraId="59FADFA7" w14:textId="1207A573" w:rsidR="00485528" w:rsidRPr="00987CC9" w:rsidRDefault="001D6B2D" w:rsidP="00485528">
            <w:pPr>
              <w:rPr>
                <w:sz w:val="22"/>
                <w:szCs w:val="22"/>
              </w:rPr>
            </w:pPr>
            <w:r>
              <w:rPr>
                <w:sz w:val="22"/>
                <w:szCs w:val="22"/>
              </w:rPr>
              <w:t>Critical</w:t>
            </w:r>
          </w:p>
        </w:tc>
        <w:tc>
          <w:tcPr>
            <w:tcW w:w="2712" w:type="dxa"/>
          </w:tcPr>
          <w:p w14:paraId="0862F2CC" w14:textId="72EA11E8" w:rsidR="00485528" w:rsidRPr="00987CC9" w:rsidRDefault="00104114" w:rsidP="00485528">
            <w:pPr>
              <w:rPr>
                <w:sz w:val="22"/>
                <w:szCs w:val="22"/>
              </w:rPr>
            </w:pPr>
            <w:r>
              <w:rPr>
                <w:sz w:val="22"/>
                <w:szCs w:val="22"/>
              </w:rPr>
              <w:t>Country information , EPI program</w:t>
            </w:r>
          </w:p>
        </w:tc>
      </w:tr>
      <w:tr w:rsidR="00485528" w:rsidRPr="00F41E79" w14:paraId="60090B25" w14:textId="77777777" w:rsidTr="00485528">
        <w:trPr>
          <w:cnfStyle w:val="000000100000" w:firstRow="0" w:lastRow="0" w:firstColumn="0" w:lastColumn="0" w:oddVBand="0" w:evenVBand="0" w:oddHBand="1" w:evenHBand="0" w:firstRowFirstColumn="0" w:firstRowLastColumn="0" w:lastRowFirstColumn="0" w:lastRowLastColumn="0"/>
          <w:trHeight w:val="20"/>
        </w:trPr>
        <w:tc>
          <w:tcPr>
            <w:tcW w:w="2052" w:type="dxa"/>
          </w:tcPr>
          <w:p w14:paraId="158A89A4" w14:textId="6A67E788" w:rsidR="00485528" w:rsidRPr="00987CC9" w:rsidRDefault="00485528" w:rsidP="00485528">
            <w:pPr>
              <w:ind w:left="432" w:hanging="432"/>
              <w:rPr>
                <w:rFonts w:ascii="Arial" w:hAnsi="Arial" w:cs="Arial"/>
                <w:sz w:val="22"/>
                <w:szCs w:val="22"/>
              </w:rPr>
            </w:pPr>
            <w:r w:rsidRPr="00987CC9">
              <w:rPr>
                <w:sz w:val="22"/>
                <w:szCs w:val="22"/>
              </w:rPr>
              <w:t>7.3</w:t>
            </w:r>
            <w:r w:rsidRPr="00987CC9">
              <w:rPr>
                <w:sz w:val="22"/>
                <w:szCs w:val="22"/>
              </w:rPr>
              <w:tab/>
              <w:t>Licensing of vaccine</w:t>
            </w:r>
          </w:p>
        </w:tc>
        <w:tc>
          <w:tcPr>
            <w:tcW w:w="4313" w:type="dxa"/>
          </w:tcPr>
          <w:p w14:paraId="7ECF2680" w14:textId="59BA0B8E" w:rsidR="00485528" w:rsidRPr="00987CC9" w:rsidRDefault="00BC283B" w:rsidP="00485528">
            <w:pPr>
              <w:ind w:left="288" w:hanging="288"/>
              <w:rPr>
                <w:sz w:val="22"/>
                <w:szCs w:val="22"/>
              </w:rPr>
            </w:pPr>
            <w:sdt>
              <w:sdtPr>
                <w:rPr>
                  <w:sz w:val="22"/>
                  <w:szCs w:val="22"/>
                </w:rPr>
                <w:id w:val="695194355"/>
                <w14:checkbox>
                  <w14:checked w14:val="1"/>
                  <w14:checkedState w14:val="2612" w14:font="MS Gothic"/>
                  <w14:uncheckedState w14:val="2610" w14:font="MS Gothic"/>
                </w14:checkbox>
              </w:sdtPr>
              <w:sdtEndPr/>
              <w:sdtContent>
                <w:r w:rsidR="005C2CDA">
                  <w:rPr>
                    <w:rFonts w:ascii="MS Gothic" w:eastAsia="MS Gothic" w:hAnsi="MS Gothic" w:hint="eastAsia"/>
                    <w:sz w:val="22"/>
                    <w:szCs w:val="22"/>
                  </w:rPr>
                  <w:t>☒</w:t>
                </w:r>
              </w:sdtContent>
            </w:sdt>
            <w:r w:rsidR="00485528" w:rsidRPr="00987CC9">
              <w:rPr>
                <w:sz w:val="22"/>
                <w:szCs w:val="22"/>
              </w:rPr>
              <w:tab/>
              <w:t>National Regulatory Authority (NRA) requirements to register available vaccines for use in target population and/or use in a different schedule as originally recommended</w:t>
            </w:r>
          </w:p>
        </w:tc>
        <w:tc>
          <w:tcPr>
            <w:tcW w:w="4235" w:type="dxa"/>
          </w:tcPr>
          <w:p w14:paraId="6C04F91A" w14:textId="2A909806" w:rsidR="00485528" w:rsidRPr="00987CC9" w:rsidRDefault="00987CC9" w:rsidP="00987CC9">
            <w:pPr>
              <w:rPr>
                <w:sz w:val="22"/>
                <w:szCs w:val="22"/>
              </w:rPr>
            </w:pPr>
            <w:r>
              <w:rPr>
                <w:sz w:val="22"/>
                <w:szCs w:val="22"/>
              </w:rPr>
              <w:t xml:space="preserve">Method for mpox vaccine registration or use of WHO-EUL/ prequalified mpox vaccines </w:t>
            </w:r>
          </w:p>
        </w:tc>
        <w:tc>
          <w:tcPr>
            <w:tcW w:w="959" w:type="dxa"/>
          </w:tcPr>
          <w:p w14:paraId="15D55D59" w14:textId="3B08A543" w:rsidR="00485528" w:rsidRPr="00987CC9" w:rsidRDefault="001D6B2D" w:rsidP="00485528">
            <w:pPr>
              <w:rPr>
                <w:sz w:val="22"/>
                <w:szCs w:val="22"/>
              </w:rPr>
            </w:pPr>
            <w:r>
              <w:rPr>
                <w:sz w:val="22"/>
                <w:szCs w:val="22"/>
              </w:rPr>
              <w:t>Critical</w:t>
            </w:r>
          </w:p>
        </w:tc>
        <w:tc>
          <w:tcPr>
            <w:tcW w:w="2712" w:type="dxa"/>
          </w:tcPr>
          <w:p w14:paraId="356ADF66" w14:textId="53A8F1FA" w:rsidR="00485528" w:rsidRPr="00987CC9" w:rsidRDefault="00104114" w:rsidP="00485528">
            <w:pPr>
              <w:rPr>
                <w:sz w:val="22"/>
                <w:szCs w:val="22"/>
              </w:rPr>
            </w:pPr>
            <w:r>
              <w:rPr>
                <w:sz w:val="22"/>
                <w:szCs w:val="22"/>
              </w:rPr>
              <w:t>Country regulatory authority</w:t>
            </w:r>
          </w:p>
        </w:tc>
      </w:tr>
      <w:tr w:rsidR="00485528" w:rsidRPr="00F41E79" w14:paraId="71D13E5B" w14:textId="77777777" w:rsidTr="00485528">
        <w:trPr>
          <w:trHeight w:val="20"/>
        </w:trPr>
        <w:tc>
          <w:tcPr>
            <w:tcW w:w="2052" w:type="dxa"/>
          </w:tcPr>
          <w:p w14:paraId="55FD6208" w14:textId="7F82CB20" w:rsidR="00485528" w:rsidRPr="00987CC9" w:rsidRDefault="00485528" w:rsidP="00485528">
            <w:pPr>
              <w:ind w:left="432" w:hanging="432"/>
              <w:rPr>
                <w:rFonts w:ascii="Arial" w:hAnsi="Arial" w:cs="Arial"/>
                <w:sz w:val="22"/>
                <w:szCs w:val="22"/>
              </w:rPr>
            </w:pPr>
            <w:r w:rsidRPr="00987CC9">
              <w:rPr>
                <w:sz w:val="22"/>
                <w:szCs w:val="22"/>
              </w:rPr>
              <w:t>7.4</w:t>
            </w:r>
            <w:r w:rsidRPr="00987CC9">
              <w:rPr>
                <w:sz w:val="22"/>
                <w:szCs w:val="22"/>
              </w:rPr>
              <w:tab/>
              <w:t>Information management</w:t>
            </w:r>
          </w:p>
        </w:tc>
        <w:tc>
          <w:tcPr>
            <w:tcW w:w="4313" w:type="dxa"/>
          </w:tcPr>
          <w:p w14:paraId="74A6B3B4" w14:textId="7F38145B" w:rsidR="00485528" w:rsidRPr="00987CC9" w:rsidRDefault="00BC283B" w:rsidP="00485528">
            <w:pPr>
              <w:ind w:left="288" w:hanging="288"/>
              <w:rPr>
                <w:sz w:val="22"/>
                <w:szCs w:val="22"/>
              </w:rPr>
            </w:pPr>
            <w:sdt>
              <w:sdtPr>
                <w:rPr>
                  <w:sz w:val="22"/>
                  <w:szCs w:val="22"/>
                </w:rPr>
                <w:id w:val="311142167"/>
                <w14:checkbox>
                  <w14:checked w14:val="1"/>
                  <w14:checkedState w14:val="2612" w14:font="MS Gothic"/>
                  <w14:uncheckedState w14:val="2610" w14:font="MS Gothic"/>
                </w14:checkbox>
              </w:sdtPr>
              <w:sdtEndPr/>
              <w:sdtContent>
                <w:r w:rsidR="005C2CDA">
                  <w:rPr>
                    <w:rFonts w:ascii="MS Gothic" w:eastAsia="MS Gothic" w:hAnsi="MS Gothic" w:hint="eastAsia"/>
                    <w:sz w:val="22"/>
                    <w:szCs w:val="22"/>
                  </w:rPr>
                  <w:t>☒</w:t>
                </w:r>
              </w:sdtContent>
            </w:sdt>
            <w:r w:rsidR="00485528" w:rsidRPr="00987CC9">
              <w:rPr>
                <w:sz w:val="22"/>
                <w:szCs w:val="22"/>
              </w:rPr>
              <w:tab/>
              <w:t>Availability of information systems to manage the vaccine supply</w:t>
            </w:r>
            <w:r w:rsidR="00987CC9">
              <w:rPr>
                <w:sz w:val="22"/>
                <w:szCs w:val="22"/>
              </w:rPr>
              <w:t>, cold</w:t>
            </w:r>
            <w:r w:rsidR="00485528" w:rsidRPr="00987CC9">
              <w:rPr>
                <w:sz w:val="22"/>
                <w:szCs w:val="22"/>
              </w:rPr>
              <w:t xml:space="preserve"> chain</w:t>
            </w:r>
            <w:r w:rsidR="00987CC9">
              <w:rPr>
                <w:sz w:val="22"/>
                <w:szCs w:val="22"/>
              </w:rPr>
              <w:t>,</w:t>
            </w:r>
            <w:r w:rsidR="00485528" w:rsidRPr="00987CC9">
              <w:rPr>
                <w:sz w:val="22"/>
                <w:szCs w:val="22"/>
              </w:rPr>
              <w:t xml:space="preserve"> measure related performance metrics, i.e., coverage and vaccine utilization</w:t>
            </w:r>
          </w:p>
        </w:tc>
        <w:tc>
          <w:tcPr>
            <w:tcW w:w="4235" w:type="dxa"/>
          </w:tcPr>
          <w:p w14:paraId="1D2AD843" w14:textId="77777777" w:rsidR="00485528" w:rsidRDefault="00987CC9" w:rsidP="00104114">
            <w:pPr>
              <w:rPr>
                <w:sz w:val="22"/>
                <w:szCs w:val="22"/>
              </w:rPr>
            </w:pPr>
            <w:r>
              <w:rPr>
                <w:sz w:val="22"/>
                <w:szCs w:val="22"/>
              </w:rPr>
              <w:t>Information systems to manage vaccine supply, cold chain, vaccine utilization and coverage of target groups</w:t>
            </w:r>
          </w:p>
          <w:p w14:paraId="3A4908B0" w14:textId="0DCDBE8C" w:rsidR="005C2CDA" w:rsidRPr="00987CC9" w:rsidRDefault="005C2CDA" w:rsidP="005C2CDA">
            <w:pPr>
              <w:rPr>
                <w:sz w:val="22"/>
                <w:szCs w:val="22"/>
              </w:rPr>
            </w:pPr>
            <w:r>
              <w:rPr>
                <w:sz w:val="22"/>
                <w:szCs w:val="22"/>
              </w:rPr>
              <w:t>Information systems to record and store vaccination (clinic and/or homebased records)</w:t>
            </w:r>
          </w:p>
        </w:tc>
        <w:tc>
          <w:tcPr>
            <w:tcW w:w="959" w:type="dxa"/>
          </w:tcPr>
          <w:p w14:paraId="1EDF0B00" w14:textId="78A996D4" w:rsidR="00485528" w:rsidRPr="00987CC9" w:rsidRDefault="001D6B2D" w:rsidP="00485528">
            <w:pPr>
              <w:rPr>
                <w:sz w:val="22"/>
                <w:szCs w:val="22"/>
              </w:rPr>
            </w:pPr>
            <w:r>
              <w:rPr>
                <w:sz w:val="22"/>
                <w:szCs w:val="22"/>
              </w:rPr>
              <w:t>Critical</w:t>
            </w:r>
          </w:p>
        </w:tc>
        <w:tc>
          <w:tcPr>
            <w:tcW w:w="2712" w:type="dxa"/>
          </w:tcPr>
          <w:p w14:paraId="6DB5C847" w14:textId="0D3C7277" w:rsidR="00485528" w:rsidRPr="00987CC9" w:rsidRDefault="00104114" w:rsidP="00485528">
            <w:pPr>
              <w:rPr>
                <w:sz w:val="22"/>
                <w:szCs w:val="22"/>
              </w:rPr>
            </w:pPr>
            <w:r>
              <w:rPr>
                <w:sz w:val="22"/>
                <w:szCs w:val="22"/>
              </w:rPr>
              <w:t>Country information , EPI program</w:t>
            </w:r>
          </w:p>
        </w:tc>
      </w:tr>
      <w:tr w:rsidR="00485528" w:rsidRPr="00F41E79" w14:paraId="0A9861F1" w14:textId="77777777" w:rsidTr="00485528">
        <w:trPr>
          <w:cnfStyle w:val="000000100000" w:firstRow="0" w:lastRow="0" w:firstColumn="0" w:lastColumn="0" w:oddVBand="0" w:evenVBand="0" w:oddHBand="1" w:evenHBand="0" w:firstRowFirstColumn="0" w:firstRowLastColumn="0" w:lastRowFirstColumn="0" w:lastRowLastColumn="0"/>
          <w:trHeight w:val="20"/>
        </w:trPr>
        <w:tc>
          <w:tcPr>
            <w:tcW w:w="2052" w:type="dxa"/>
          </w:tcPr>
          <w:p w14:paraId="03521EED" w14:textId="34535B6C" w:rsidR="00485528" w:rsidRPr="00987CC9" w:rsidRDefault="00485528" w:rsidP="00485528">
            <w:pPr>
              <w:ind w:left="432" w:hanging="432"/>
              <w:rPr>
                <w:rFonts w:ascii="Arial" w:hAnsi="Arial" w:cs="Arial"/>
                <w:sz w:val="22"/>
                <w:szCs w:val="22"/>
              </w:rPr>
            </w:pPr>
            <w:r w:rsidRPr="00987CC9">
              <w:rPr>
                <w:sz w:val="22"/>
                <w:szCs w:val="22"/>
              </w:rPr>
              <w:t>7.5</w:t>
            </w:r>
            <w:r w:rsidRPr="00987CC9">
              <w:rPr>
                <w:sz w:val="22"/>
                <w:szCs w:val="22"/>
              </w:rPr>
              <w:tab/>
              <w:t>Disease and AEFI surveillance</w:t>
            </w:r>
          </w:p>
        </w:tc>
        <w:tc>
          <w:tcPr>
            <w:tcW w:w="4313" w:type="dxa"/>
          </w:tcPr>
          <w:p w14:paraId="007912F0" w14:textId="21B91501" w:rsidR="00485528" w:rsidRPr="00987CC9" w:rsidRDefault="00BC283B" w:rsidP="00485528">
            <w:pPr>
              <w:ind w:left="288" w:hanging="288"/>
              <w:rPr>
                <w:sz w:val="22"/>
                <w:szCs w:val="22"/>
              </w:rPr>
            </w:pPr>
            <w:sdt>
              <w:sdtPr>
                <w:rPr>
                  <w:sz w:val="22"/>
                  <w:szCs w:val="22"/>
                </w:rPr>
                <w:id w:val="1821224445"/>
                <w14:checkbox>
                  <w14:checked w14:val="1"/>
                  <w14:checkedState w14:val="2612" w14:font="MS Gothic"/>
                  <w14:uncheckedState w14:val="2610" w14:font="MS Gothic"/>
                </w14:checkbox>
              </w:sdtPr>
              <w:sdtEndPr/>
              <w:sdtContent>
                <w:r w:rsidR="005C2CDA">
                  <w:rPr>
                    <w:rFonts w:ascii="MS Gothic" w:eastAsia="MS Gothic" w:hAnsi="MS Gothic" w:hint="eastAsia"/>
                    <w:sz w:val="22"/>
                    <w:szCs w:val="22"/>
                  </w:rPr>
                  <w:t>☒</w:t>
                </w:r>
              </w:sdtContent>
            </w:sdt>
            <w:r w:rsidR="00485528" w:rsidRPr="00987CC9">
              <w:rPr>
                <w:sz w:val="22"/>
                <w:szCs w:val="22"/>
              </w:rPr>
              <w:tab/>
              <w:t>Existence and reliability of surveillance systems to monitor disease and AEFI</w:t>
            </w:r>
          </w:p>
        </w:tc>
        <w:tc>
          <w:tcPr>
            <w:tcW w:w="4235" w:type="dxa"/>
          </w:tcPr>
          <w:p w14:paraId="3FD83471" w14:textId="4A9CCC72" w:rsidR="00485528" w:rsidRPr="00987CC9" w:rsidRDefault="00987CC9" w:rsidP="00485528">
            <w:pPr>
              <w:rPr>
                <w:sz w:val="22"/>
                <w:szCs w:val="22"/>
              </w:rPr>
            </w:pPr>
            <w:r>
              <w:rPr>
                <w:sz w:val="22"/>
                <w:szCs w:val="22"/>
              </w:rPr>
              <w:t xml:space="preserve">Mpox surveillance systems, lab capacity; AEFI reporting systems </w:t>
            </w:r>
          </w:p>
        </w:tc>
        <w:tc>
          <w:tcPr>
            <w:tcW w:w="959" w:type="dxa"/>
          </w:tcPr>
          <w:p w14:paraId="6460A6D0" w14:textId="202F5EA7" w:rsidR="00485528" w:rsidRPr="00987CC9" w:rsidRDefault="001D6B2D" w:rsidP="00485528">
            <w:pPr>
              <w:rPr>
                <w:sz w:val="22"/>
                <w:szCs w:val="22"/>
              </w:rPr>
            </w:pPr>
            <w:r>
              <w:rPr>
                <w:sz w:val="22"/>
                <w:szCs w:val="22"/>
              </w:rPr>
              <w:t>Critical</w:t>
            </w:r>
          </w:p>
        </w:tc>
        <w:tc>
          <w:tcPr>
            <w:tcW w:w="2712" w:type="dxa"/>
          </w:tcPr>
          <w:p w14:paraId="6AEC6981" w14:textId="3146E94F" w:rsidR="00485528" w:rsidRPr="00987CC9" w:rsidRDefault="00104114" w:rsidP="00104114">
            <w:pPr>
              <w:rPr>
                <w:sz w:val="22"/>
                <w:szCs w:val="22"/>
              </w:rPr>
            </w:pPr>
            <w:r>
              <w:rPr>
                <w:sz w:val="22"/>
                <w:szCs w:val="22"/>
              </w:rPr>
              <w:t>Country information; EPI , disease surveillance programs</w:t>
            </w:r>
          </w:p>
        </w:tc>
      </w:tr>
    </w:tbl>
    <w:p w14:paraId="1B3785A5" w14:textId="77777777" w:rsidR="00780EA1" w:rsidRPr="00BD6DC4" w:rsidRDefault="00780EA1" w:rsidP="009F5676">
      <w:bookmarkStart w:id="7" w:name="_GoBack"/>
      <w:bookmarkEnd w:id="7"/>
    </w:p>
    <w:sectPr w:rsidR="00780EA1" w:rsidRPr="00BD6DC4" w:rsidSect="00F95A49">
      <w:footerReference w:type="even" r:id="rId8"/>
      <w:footerReference w:type="default" r:id="rId9"/>
      <w:pgSz w:w="15840" w:h="12240" w:orient="landscape"/>
      <w:pgMar w:top="576" w:right="720" w:bottom="576" w:left="720" w:header="706" w:footer="432"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6F1E6B" w16cex:dateUtc="2024-08-20T17:53:00Z"/>
  <w16cex:commentExtensible w16cex:durableId="2A6F29B1" w16cex:dateUtc="2024-08-20T18:41:00Z"/>
  <w16cex:commentExtensible w16cex:durableId="2A6F2676" w16cex:dateUtc="2024-08-20T18:28:00Z"/>
  <w16cex:commentExtensible w16cex:durableId="2A6F2CF3" w16cex:dateUtc="2024-08-20T18:55:00Z"/>
  <w16cex:commentExtensible w16cex:durableId="2A6F2E3E" w16cex:dateUtc="2024-08-20T19:01:00Z"/>
  <w16cex:commentExtensible w16cex:durableId="2A6F28CE" w16cex:dateUtc="2024-08-20T18:38:00Z"/>
  <w16cex:commentExtensible w16cex:durableId="2A6F2B5E" w16cex:dateUtc="2024-08-20T18:49:00Z"/>
  <w16cex:commentExtensible w16cex:durableId="2A6F2C9C" w16cex:dateUtc="2024-08-20T18:54:00Z"/>
  <w16cex:commentExtensible w16cex:durableId="2A6F2EEB" w16cex:dateUtc="2024-08-20T19:04:00Z"/>
  <w16cex:commentExtensible w16cex:durableId="2A6F2E59" w16cex:dateUtc="2024-08-20T19:01:00Z"/>
  <w16cex:commentExtensible w16cex:durableId="2A6F2EC9" w16cex:dateUtc="2024-08-20T19:03:00Z"/>
  <w16cex:commentExtensible w16cex:durableId="2A6F304F" w16cex:dateUtc="2024-08-20T19:10:00Z"/>
  <w16cex:commentExtensible w16cex:durableId="2A6F3266" w16cex:dateUtc="2024-08-20T19:19:00Z"/>
  <w16cex:commentExtensible w16cex:durableId="2A6F3377" w16cex:dateUtc="2024-08-20T19:23:00Z"/>
  <w16cex:commentExtensible w16cex:durableId="2A6F33B6" w16cex:dateUtc="2024-08-20T19:24:00Z"/>
  <w16cex:commentExtensible w16cex:durableId="2A6F3752" w16cex:dateUtc="2024-08-20T19:40:00Z"/>
  <w16cex:commentExtensible w16cex:durableId="2A6F3C37" w16cex:dateUtc="2024-08-20T20:00:00Z"/>
  <w16cex:commentExtensible w16cex:durableId="424418ED" w16cex:dateUtc="2024-08-21T10:45:16.128Z"/>
  <w16cex:commentExtensible w16cex:durableId="373A6722" w16cex:dateUtc="2024-08-21T11:24:12.971Z"/>
  <w16cex:commentExtensible w16cex:durableId="58E6D343" w16cex:dateUtc="2024-08-21T11:26:04.055Z"/>
  <w16cex:commentExtensible w16cex:durableId="5A68A86C" w16cex:dateUtc="2024-08-21T11:36:04.742Z"/>
</w16cex:commentsExtensible>
</file>

<file path=word/commentsIds.xml><?xml version="1.0" encoding="utf-8"?>
<w16cid:commentsIds xmlns:mc="http://schemas.openxmlformats.org/markup-compatibility/2006" xmlns:w16cid="http://schemas.microsoft.com/office/word/2016/wordml/cid" mc:Ignorable="w16cid">
  <w16cid:commentId w16cid:paraId="4AA4A389" w16cid:durableId="2A6F1E6B"/>
  <w16cid:commentId w16cid:paraId="2CD735E7" w16cid:durableId="2A6F29B1"/>
  <w16cid:commentId w16cid:paraId="5B330AFA" w16cid:durableId="2A6F2676"/>
  <w16cid:commentId w16cid:paraId="3BBE3BA9" w16cid:durableId="2A6F2CF3"/>
  <w16cid:commentId w16cid:paraId="2DB34453" w16cid:durableId="2A6F2E3E"/>
  <w16cid:commentId w16cid:paraId="705D55C7" w16cid:durableId="2A6F28CE"/>
  <w16cid:commentId w16cid:paraId="4F69A4F1" w16cid:durableId="2A6F2B5E"/>
  <w16cid:commentId w16cid:paraId="63FCC4CA" w16cid:durableId="2A6F2C9C"/>
  <w16cid:commentId w16cid:paraId="1E4E0140" w16cid:durableId="2A6F2EEB"/>
  <w16cid:commentId w16cid:paraId="5696C04D" w16cid:durableId="2A6F2E59"/>
  <w16cid:commentId w16cid:paraId="31C2FD47" w16cid:durableId="2A6F2EC9"/>
  <w16cid:commentId w16cid:paraId="04C94CD3" w16cid:durableId="2A6F1AE7"/>
  <w16cid:commentId w16cid:paraId="4CD3C367" w16cid:durableId="2A6F304F"/>
  <w16cid:commentId w16cid:paraId="08FF42E4" w16cid:durableId="2A6F3266"/>
  <w16cid:commentId w16cid:paraId="576745F9" w16cid:durableId="2A6F3377"/>
  <w16cid:commentId w16cid:paraId="2FD93DE3" w16cid:durableId="2A6F33B6"/>
  <w16cid:commentId w16cid:paraId="559D322E" w16cid:durableId="2A6F3752"/>
  <w16cid:commentId w16cid:paraId="76DF53ED" w16cid:durableId="2A6F3C37"/>
  <w16cid:commentId w16cid:paraId="5CDC808A" w16cid:durableId="424418ED"/>
  <w16cid:commentId w16cid:paraId="4B339293" w16cid:durableId="373A6722"/>
  <w16cid:commentId w16cid:paraId="52BAEBED" w16cid:durableId="58E6D343"/>
  <w16cid:commentId w16cid:paraId="594542DF" w16cid:durableId="5A68A86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6D838" w14:textId="77777777" w:rsidR="00BC283B" w:rsidRDefault="00BC283B" w:rsidP="006F371C">
      <w:r>
        <w:separator/>
      </w:r>
    </w:p>
  </w:endnote>
  <w:endnote w:type="continuationSeparator" w:id="0">
    <w:p w14:paraId="60BBACEC" w14:textId="77777777" w:rsidR="00BC283B" w:rsidRDefault="00BC283B" w:rsidP="006F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30713044"/>
      <w:docPartObj>
        <w:docPartGallery w:val="Page Numbers (Bottom of Page)"/>
        <w:docPartUnique/>
      </w:docPartObj>
    </w:sdtPr>
    <w:sdtEndPr>
      <w:rPr>
        <w:rStyle w:val="PageNumber"/>
      </w:rPr>
    </w:sdtEndPr>
    <w:sdtContent>
      <w:p w14:paraId="42A923BB" w14:textId="5A45B82E" w:rsidR="00EF25F2" w:rsidRDefault="00EF25F2" w:rsidP="006F371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6722A6" w14:textId="77777777" w:rsidR="00EF25F2" w:rsidRDefault="00EF25F2" w:rsidP="006F37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color w:val="3B6BB2" w:themeColor="accent1"/>
        <w:sz w:val="22"/>
        <w:szCs w:val="22"/>
      </w:rPr>
      <w:id w:val="-1903362616"/>
      <w:docPartObj>
        <w:docPartGallery w:val="Page Numbers (Bottom of Page)"/>
        <w:docPartUnique/>
      </w:docPartObj>
    </w:sdtPr>
    <w:sdtEndPr>
      <w:rPr>
        <w:rStyle w:val="PageNumber"/>
      </w:rPr>
    </w:sdtEndPr>
    <w:sdtContent>
      <w:p w14:paraId="617BD6F9" w14:textId="3FFAE6AA" w:rsidR="00EF25F2" w:rsidRPr="00757B7E" w:rsidRDefault="00EF25F2" w:rsidP="00757B7E">
        <w:pPr>
          <w:pStyle w:val="Footer"/>
          <w:jc w:val="center"/>
          <w:rPr>
            <w:color w:val="3B6BB2" w:themeColor="accent1"/>
            <w:sz w:val="22"/>
            <w:szCs w:val="22"/>
          </w:rPr>
        </w:pPr>
        <w:r w:rsidRPr="00757B7E">
          <w:rPr>
            <w:rStyle w:val="PageNumber"/>
            <w:color w:val="3B6BB2" w:themeColor="accent1"/>
            <w:sz w:val="22"/>
            <w:szCs w:val="22"/>
          </w:rPr>
          <w:t xml:space="preserve">Page </w:t>
        </w:r>
        <w:r w:rsidRPr="00757B7E">
          <w:rPr>
            <w:rStyle w:val="PageNumber"/>
            <w:color w:val="3B6BB2" w:themeColor="accent1"/>
            <w:sz w:val="22"/>
            <w:szCs w:val="22"/>
          </w:rPr>
          <w:fldChar w:fldCharType="begin"/>
        </w:r>
        <w:r w:rsidRPr="00757B7E">
          <w:rPr>
            <w:rStyle w:val="PageNumber"/>
            <w:color w:val="3B6BB2" w:themeColor="accent1"/>
            <w:sz w:val="22"/>
            <w:szCs w:val="22"/>
          </w:rPr>
          <w:instrText xml:space="preserve"> PAGE </w:instrText>
        </w:r>
        <w:r w:rsidRPr="00757B7E">
          <w:rPr>
            <w:rStyle w:val="PageNumber"/>
            <w:color w:val="3B6BB2" w:themeColor="accent1"/>
            <w:sz w:val="22"/>
            <w:szCs w:val="22"/>
          </w:rPr>
          <w:fldChar w:fldCharType="separate"/>
        </w:r>
        <w:r w:rsidR="00627BFF">
          <w:rPr>
            <w:rStyle w:val="PageNumber"/>
            <w:noProof/>
            <w:color w:val="3B6BB2" w:themeColor="accent1"/>
            <w:sz w:val="22"/>
            <w:szCs w:val="22"/>
          </w:rPr>
          <w:t>8</w:t>
        </w:r>
        <w:r w:rsidRPr="00757B7E">
          <w:rPr>
            <w:rStyle w:val="PageNumber"/>
            <w:color w:val="3B6BB2" w:themeColor="accent1"/>
            <w:sz w:val="22"/>
            <w:szCs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796C4" w14:textId="77777777" w:rsidR="00BC283B" w:rsidRDefault="00BC283B" w:rsidP="006F371C">
      <w:r>
        <w:separator/>
      </w:r>
    </w:p>
  </w:footnote>
  <w:footnote w:type="continuationSeparator" w:id="0">
    <w:p w14:paraId="38CEFBFB" w14:textId="77777777" w:rsidR="00BC283B" w:rsidRDefault="00BC283B" w:rsidP="006F37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72D8"/>
    <w:multiLevelType w:val="hybridMultilevel"/>
    <w:tmpl w:val="1006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92EAE"/>
    <w:multiLevelType w:val="hybridMultilevel"/>
    <w:tmpl w:val="A06E35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F96E5F"/>
    <w:multiLevelType w:val="hybridMultilevel"/>
    <w:tmpl w:val="2814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C73B5"/>
    <w:multiLevelType w:val="hybridMultilevel"/>
    <w:tmpl w:val="7BB0A1BE"/>
    <w:lvl w:ilvl="0" w:tplc="26D87D7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 w15:restartNumberingAfterBreak="0">
    <w:nsid w:val="38390FD8"/>
    <w:multiLevelType w:val="hybridMultilevel"/>
    <w:tmpl w:val="8190004E"/>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84522F"/>
    <w:multiLevelType w:val="hybridMultilevel"/>
    <w:tmpl w:val="1A080B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1081150"/>
    <w:multiLevelType w:val="hybridMultilevel"/>
    <w:tmpl w:val="9A84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B23AF"/>
    <w:multiLevelType w:val="hybridMultilevel"/>
    <w:tmpl w:val="348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94C97"/>
    <w:multiLevelType w:val="hybridMultilevel"/>
    <w:tmpl w:val="E822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84197A"/>
    <w:multiLevelType w:val="hybridMultilevel"/>
    <w:tmpl w:val="94B6947C"/>
    <w:lvl w:ilvl="0" w:tplc="1B68EA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B1E15"/>
    <w:multiLevelType w:val="hybridMultilevel"/>
    <w:tmpl w:val="70DAC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3"/>
  </w:num>
  <w:num w:numId="5">
    <w:abstractNumId w:val="4"/>
  </w:num>
  <w:num w:numId="6">
    <w:abstractNumId w:val="10"/>
  </w:num>
  <w:num w:numId="7">
    <w:abstractNumId w:val="0"/>
  </w:num>
  <w:num w:numId="8">
    <w:abstractNumId w:val="8"/>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62"/>
    <w:rsid w:val="0001587D"/>
    <w:rsid w:val="00020F4C"/>
    <w:rsid w:val="000256B0"/>
    <w:rsid w:val="00026C14"/>
    <w:rsid w:val="0005226A"/>
    <w:rsid w:val="00053A2D"/>
    <w:rsid w:val="0005401F"/>
    <w:rsid w:val="0008581B"/>
    <w:rsid w:val="00087FAB"/>
    <w:rsid w:val="000A64FB"/>
    <w:rsid w:val="000C725B"/>
    <w:rsid w:val="000E2F97"/>
    <w:rsid w:val="000E5C90"/>
    <w:rsid w:val="000F3ECF"/>
    <w:rsid w:val="00101A95"/>
    <w:rsid w:val="00102AB8"/>
    <w:rsid w:val="00104114"/>
    <w:rsid w:val="0010550B"/>
    <w:rsid w:val="001076B8"/>
    <w:rsid w:val="00117D47"/>
    <w:rsid w:val="001510D6"/>
    <w:rsid w:val="00170910"/>
    <w:rsid w:val="001832EC"/>
    <w:rsid w:val="001836EC"/>
    <w:rsid w:val="00184D40"/>
    <w:rsid w:val="00185476"/>
    <w:rsid w:val="001962D1"/>
    <w:rsid w:val="001B44D5"/>
    <w:rsid w:val="001C2658"/>
    <w:rsid w:val="001D6B2D"/>
    <w:rsid w:val="001D6D84"/>
    <w:rsid w:val="001E4FF8"/>
    <w:rsid w:val="002074E8"/>
    <w:rsid w:val="00207D70"/>
    <w:rsid w:val="002132BA"/>
    <w:rsid w:val="00217989"/>
    <w:rsid w:val="00223F71"/>
    <w:rsid w:val="00230AD9"/>
    <w:rsid w:val="00244316"/>
    <w:rsid w:val="00246E84"/>
    <w:rsid w:val="00251122"/>
    <w:rsid w:val="00252E6F"/>
    <w:rsid w:val="00254B8B"/>
    <w:rsid w:val="00266023"/>
    <w:rsid w:val="00266C6D"/>
    <w:rsid w:val="002B6552"/>
    <w:rsid w:val="002D1686"/>
    <w:rsid w:val="002D5FE7"/>
    <w:rsid w:val="002E1FE7"/>
    <w:rsid w:val="003077BC"/>
    <w:rsid w:val="00355A54"/>
    <w:rsid w:val="00374D6D"/>
    <w:rsid w:val="003A1F73"/>
    <w:rsid w:val="003A338F"/>
    <w:rsid w:val="003D6FFC"/>
    <w:rsid w:val="003E123E"/>
    <w:rsid w:val="003E2A97"/>
    <w:rsid w:val="003F3A4E"/>
    <w:rsid w:val="00401AAB"/>
    <w:rsid w:val="00413FCC"/>
    <w:rsid w:val="00423C20"/>
    <w:rsid w:val="00435C9D"/>
    <w:rsid w:val="00440250"/>
    <w:rsid w:val="00443CA1"/>
    <w:rsid w:val="004446C6"/>
    <w:rsid w:val="0044590F"/>
    <w:rsid w:val="00462288"/>
    <w:rsid w:val="00463DEE"/>
    <w:rsid w:val="00470F7E"/>
    <w:rsid w:val="00485528"/>
    <w:rsid w:val="00490BDD"/>
    <w:rsid w:val="004A48AA"/>
    <w:rsid w:val="004A5BB3"/>
    <w:rsid w:val="004C5211"/>
    <w:rsid w:val="004D7E29"/>
    <w:rsid w:val="00505890"/>
    <w:rsid w:val="005124EE"/>
    <w:rsid w:val="00517AC2"/>
    <w:rsid w:val="00532732"/>
    <w:rsid w:val="00554D92"/>
    <w:rsid w:val="00561FB8"/>
    <w:rsid w:val="00564791"/>
    <w:rsid w:val="005739B8"/>
    <w:rsid w:val="00575675"/>
    <w:rsid w:val="00584D58"/>
    <w:rsid w:val="005857F7"/>
    <w:rsid w:val="005C2CDA"/>
    <w:rsid w:val="005D0B57"/>
    <w:rsid w:val="005D2F25"/>
    <w:rsid w:val="005F7851"/>
    <w:rsid w:val="0061037D"/>
    <w:rsid w:val="00610E7A"/>
    <w:rsid w:val="00615550"/>
    <w:rsid w:val="00627BFF"/>
    <w:rsid w:val="00637024"/>
    <w:rsid w:val="00637E8D"/>
    <w:rsid w:val="006717FB"/>
    <w:rsid w:val="00694541"/>
    <w:rsid w:val="006C21F6"/>
    <w:rsid w:val="006D05FD"/>
    <w:rsid w:val="006D0A39"/>
    <w:rsid w:val="006E1AA7"/>
    <w:rsid w:val="006E5A6D"/>
    <w:rsid w:val="006F371C"/>
    <w:rsid w:val="00727BD1"/>
    <w:rsid w:val="007500C8"/>
    <w:rsid w:val="00757B7E"/>
    <w:rsid w:val="00760D36"/>
    <w:rsid w:val="00780EA1"/>
    <w:rsid w:val="0079727D"/>
    <w:rsid w:val="007A2A6E"/>
    <w:rsid w:val="007B4482"/>
    <w:rsid w:val="007B4D54"/>
    <w:rsid w:val="007C41B1"/>
    <w:rsid w:val="007D0657"/>
    <w:rsid w:val="007F586C"/>
    <w:rsid w:val="00800EBC"/>
    <w:rsid w:val="008043B6"/>
    <w:rsid w:val="00823967"/>
    <w:rsid w:val="00831332"/>
    <w:rsid w:val="0084171B"/>
    <w:rsid w:val="00864379"/>
    <w:rsid w:val="00893377"/>
    <w:rsid w:val="008A017B"/>
    <w:rsid w:val="008A240E"/>
    <w:rsid w:val="008A2DDE"/>
    <w:rsid w:val="008C445B"/>
    <w:rsid w:val="008D3C82"/>
    <w:rsid w:val="008D6B3B"/>
    <w:rsid w:val="008D7B26"/>
    <w:rsid w:val="008E68FB"/>
    <w:rsid w:val="0091403D"/>
    <w:rsid w:val="00927FA5"/>
    <w:rsid w:val="00937683"/>
    <w:rsid w:val="0094193D"/>
    <w:rsid w:val="009578C3"/>
    <w:rsid w:val="009624AD"/>
    <w:rsid w:val="009869A9"/>
    <w:rsid w:val="00987CC9"/>
    <w:rsid w:val="00990A95"/>
    <w:rsid w:val="009B27C6"/>
    <w:rsid w:val="009C4ED4"/>
    <w:rsid w:val="009C6C03"/>
    <w:rsid w:val="009F5676"/>
    <w:rsid w:val="00A00100"/>
    <w:rsid w:val="00A17E80"/>
    <w:rsid w:val="00A4669D"/>
    <w:rsid w:val="00A50873"/>
    <w:rsid w:val="00A612C1"/>
    <w:rsid w:val="00A912D5"/>
    <w:rsid w:val="00A95EE4"/>
    <w:rsid w:val="00AB02AE"/>
    <w:rsid w:val="00AB174F"/>
    <w:rsid w:val="00AC4455"/>
    <w:rsid w:val="00AE3643"/>
    <w:rsid w:val="00AE4E8D"/>
    <w:rsid w:val="00B01884"/>
    <w:rsid w:val="00B028DA"/>
    <w:rsid w:val="00B04691"/>
    <w:rsid w:val="00B16C8F"/>
    <w:rsid w:val="00B20D36"/>
    <w:rsid w:val="00B21117"/>
    <w:rsid w:val="00B50F3E"/>
    <w:rsid w:val="00B567F9"/>
    <w:rsid w:val="00B62262"/>
    <w:rsid w:val="00B631D2"/>
    <w:rsid w:val="00B6333A"/>
    <w:rsid w:val="00B70AE6"/>
    <w:rsid w:val="00B7452C"/>
    <w:rsid w:val="00B74EB7"/>
    <w:rsid w:val="00B75BCB"/>
    <w:rsid w:val="00B87F20"/>
    <w:rsid w:val="00BA14CE"/>
    <w:rsid w:val="00BA5C04"/>
    <w:rsid w:val="00BC283B"/>
    <w:rsid w:val="00BD6DC4"/>
    <w:rsid w:val="00BD741E"/>
    <w:rsid w:val="00BD7959"/>
    <w:rsid w:val="00BE0431"/>
    <w:rsid w:val="00BE2949"/>
    <w:rsid w:val="00BF1E52"/>
    <w:rsid w:val="00C07D0B"/>
    <w:rsid w:val="00C33ADB"/>
    <w:rsid w:val="00C40B3B"/>
    <w:rsid w:val="00C60A6C"/>
    <w:rsid w:val="00C8022A"/>
    <w:rsid w:val="00C91BD3"/>
    <w:rsid w:val="00CA57F0"/>
    <w:rsid w:val="00CB454B"/>
    <w:rsid w:val="00CB60A9"/>
    <w:rsid w:val="00CB6BEE"/>
    <w:rsid w:val="00CC33A1"/>
    <w:rsid w:val="00CC5C98"/>
    <w:rsid w:val="00CD0D3D"/>
    <w:rsid w:val="00CD1E29"/>
    <w:rsid w:val="00D12937"/>
    <w:rsid w:val="00D13F09"/>
    <w:rsid w:val="00D15FBC"/>
    <w:rsid w:val="00D20C87"/>
    <w:rsid w:val="00D213F5"/>
    <w:rsid w:val="00D23EBF"/>
    <w:rsid w:val="00D452B7"/>
    <w:rsid w:val="00D544CD"/>
    <w:rsid w:val="00D553B1"/>
    <w:rsid w:val="00D56108"/>
    <w:rsid w:val="00D672CC"/>
    <w:rsid w:val="00D872E0"/>
    <w:rsid w:val="00D97602"/>
    <w:rsid w:val="00DB69A4"/>
    <w:rsid w:val="00E15A3E"/>
    <w:rsid w:val="00E44C84"/>
    <w:rsid w:val="00E46DDA"/>
    <w:rsid w:val="00E622FD"/>
    <w:rsid w:val="00E76B26"/>
    <w:rsid w:val="00E81D8E"/>
    <w:rsid w:val="00EA3BD5"/>
    <w:rsid w:val="00EA4462"/>
    <w:rsid w:val="00EA6ED6"/>
    <w:rsid w:val="00EB6543"/>
    <w:rsid w:val="00EE6BD0"/>
    <w:rsid w:val="00EF1924"/>
    <w:rsid w:val="00EF25F2"/>
    <w:rsid w:val="00F115B2"/>
    <w:rsid w:val="00F35418"/>
    <w:rsid w:val="00F4460A"/>
    <w:rsid w:val="00F50399"/>
    <w:rsid w:val="00F67C4F"/>
    <w:rsid w:val="00F70068"/>
    <w:rsid w:val="00F83C18"/>
    <w:rsid w:val="00F85DC9"/>
    <w:rsid w:val="00F95A49"/>
    <w:rsid w:val="00FA4500"/>
    <w:rsid w:val="00FB65C2"/>
    <w:rsid w:val="00FD741B"/>
    <w:rsid w:val="00FE1D13"/>
    <w:rsid w:val="00FE49DE"/>
    <w:rsid w:val="01FD5A15"/>
    <w:rsid w:val="05B8A6E8"/>
    <w:rsid w:val="08678D4E"/>
    <w:rsid w:val="087BF618"/>
    <w:rsid w:val="08F48797"/>
    <w:rsid w:val="090605D8"/>
    <w:rsid w:val="0A7E4ECC"/>
    <w:rsid w:val="0AF6A77B"/>
    <w:rsid w:val="0B8D5234"/>
    <w:rsid w:val="0C2C7827"/>
    <w:rsid w:val="0DE4DE9D"/>
    <w:rsid w:val="110888AD"/>
    <w:rsid w:val="1A0ABE4C"/>
    <w:rsid w:val="1ABEE7CE"/>
    <w:rsid w:val="1D639E6F"/>
    <w:rsid w:val="1E20DDDD"/>
    <w:rsid w:val="218FB768"/>
    <w:rsid w:val="24B1982F"/>
    <w:rsid w:val="24F90379"/>
    <w:rsid w:val="2825174C"/>
    <w:rsid w:val="29DE848E"/>
    <w:rsid w:val="2B255706"/>
    <w:rsid w:val="2B71D074"/>
    <w:rsid w:val="2D06FFE8"/>
    <w:rsid w:val="2D91413C"/>
    <w:rsid w:val="2E0AA6A8"/>
    <w:rsid w:val="2E458ED1"/>
    <w:rsid w:val="3241FD38"/>
    <w:rsid w:val="334516BE"/>
    <w:rsid w:val="36957A96"/>
    <w:rsid w:val="38789779"/>
    <w:rsid w:val="389CD34D"/>
    <w:rsid w:val="3949B7E9"/>
    <w:rsid w:val="3A35F12B"/>
    <w:rsid w:val="3D227294"/>
    <w:rsid w:val="44882B4D"/>
    <w:rsid w:val="45F363C9"/>
    <w:rsid w:val="489D8856"/>
    <w:rsid w:val="4A762748"/>
    <w:rsid w:val="4BBFB002"/>
    <w:rsid w:val="4CD38907"/>
    <w:rsid w:val="4F67E412"/>
    <w:rsid w:val="50129558"/>
    <w:rsid w:val="534C106C"/>
    <w:rsid w:val="53C6BD78"/>
    <w:rsid w:val="53E209A7"/>
    <w:rsid w:val="56AF1C5B"/>
    <w:rsid w:val="56D0D5BC"/>
    <w:rsid w:val="5AEF24CE"/>
    <w:rsid w:val="5BEDD462"/>
    <w:rsid w:val="5D6C9445"/>
    <w:rsid w:val="5E4BC71C"/>
    <w:rsid w:val="5E8EB6D5"/>
    <w:rsid w:val="5F8BF6E0"/>
    <w:rsid w:val="5FC7A90B"/>
    <w:rsid w:val="60FDDF9D"/>
    <w:rsid w:val="63C084E2"/>
    <w:rsid w:val="65A1AC27"/>
    <w:rsid w:val="670880C4"/>
    <w:rsid w:val="67B29459"/>
    <w:rsid w:val="682AB192"/>
    <w:rsid w:val="6A509110"/>
    <w:rsid w:val="6BB8D57A"/>
    <w:rsid w:val="6CB7E694"/>
    <w:rsid w:val="71893299"/>
    <w:rsid w:val="73C567E2"/>
    <w:rsid w:val="747B46C0"/>
    <w:rsid w:val="75619D29"/>
    <w:rsid w:val="794C4D21"/>
    <w:rsid w:val="7A2C583D"/>
    <w:rsid w:val="7A9B6F31"/>
    <w:rsid w:val="7AD7333A"/>
    <w:rsid w:val="7BFED0A4"/>
    <w:rsid w:val="7C1CA3C4"/>
    <w:rsid w:val="7D7E0388"/>
    <w:rsid w:val="7E9E1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9ED6"/>
  <w15:docId w15:val="{175A9EAB-B095-A64B-B14A-7E336B21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6D"/>
    <w:pPr>
      <w:spacing w:after="0" w:line="240" w:lineRule="auto"/>
    </w:pPr>
    <w:rPr>
      <w:rFonts w:eastAsia="SimSun" w:cstheme="minorHAnsi"/>
      <w:sz w:val="24"/>
      <w:szCs w:val="24"/>
      <w:lang w:eastAsia="zh-CN"/>
    </w:rPr>
  </w:style>
  <w:style w:type="paragraph" w:styleId="Heading1">
    <w:name w:val="heading 1"/>
    <w:basedOn w:val="Normal"/>
    <w:next w:val="Normal"/>
    <w:link w:val="Heading1Char"/>
    <w:uiPriority w:val="9"/>
    <w:qFormat/>
    <w:rsid w:val="00B7452C"/>
    <w:pPr>
      <w:keepNext/>
      <w:keepLines/>
      <w:spacing w:before="240" w:after="80"/>
      <w:outlineLvl w:val="0"/>
    </w:pPr>
    <w:rPr>
      <w:rFonts w:asciiTheme="majorHAnsi" w:eastAsiaTheme="majorEastAsia" w:hAnsiTheme="majorHAnsi" w:cstheme="majorBidi"/>
      <w:color w:val="2C4F85" w:themeColor="accent1" w:themeShade="BF"/>
      <w:sz w:val="32"/>
      <w:szCs w:val="32"/>
      <w:lang w:val="en-GB"/>
    </w:rPr>
  </w:style>
  <w:style w:type="paragraph" w:styleId="Heading2">
    <w:name w:val="heading 2"/>
    <w:basedOn w:val="Normal"/>
    <w:next w:val="Normal"/>
    <w:link w:val="Heading2Char"/>
    <w:qFormat/>
    <w:rsid w:val="00EA4462"/>
    <w:pPr>
      <w:keepNext/>
      <w:spacing w:before="240" w:after="60"/>
      <w:outlineLvl w:val="1"/>
    </w:pPr>
    <w:rPr>
      <w:rFonts w:cs="Arial"/>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4462"/>
    <w:rPr>
      <w:rFonts w:ascii="Times New Roman" w:eastAsia="SimSun" w:hAnsi="Times New Roman" w:cs="Arial"/>
      <w:bCs/>
      <w:i/>
      <w:iCs/>
      <w:sz w:val="24"/>
      <w:szCs w:val="28"/>
      <w:lang w:eastAsia="zh-CN"/>
    </w:rPr>
  </w:style>
  <w:style w:type="character" w:styleId="Hyperlink">
    <w:name w:val="Hyperlink"/>
    <w:uiPriority w:val="99"/>
    <w:rsid w:val="00EA4462"/>
    <w:rPr>
      <w:color w:val="0000FF"/>
      <w:u w:val="single"/>
    </w:rPr>
  </w:style>
  <w:style w:type="paragraph" w:customStyle="1" w:styleId="Headingjudgementtable">
    <w:name w:val="Heading judgement table"/>
    <w:basedOn w:val="Normal"/>
    <w:uiPriority w:val="99"/>
    <w:rsid w:val="00EA4462"/>
    <w:pPr>
      <w:jc w:val="center"/>
    </w:pPr>
    <w:rPr>
      <w:rFonts w:ascii="Arial Narrow" w:eastAsia="Times New Roman" w:hAnsi="Arial Narrow"/>
      <w:i/>
      <w:noProof/>
      <w:sz w:val="14"/>
      <w:szCs w:val="14"/>
      <w:lang w:eastAsia="ja-JP"/>
    </w:rPr>
  </w:style>
  <w:style w:type="paragraph" w:customStyle="1" w:styleId="checkboxtext">
    <w:name w:val="checkbox text"/>
    <w:basedOn w:val="Normal"/>
    <w:uiPriority w:val="99"/>
    <w:rsid w:val="00EA4462"/>
    <w:pPr>
      <w:spacing w:line="138" w:lineRule="exact"/>
      <w:jc w:val="center"/>
    </w:pPr>
    <w:rPr>
      <w:rFonts w:ascii="Arial Narrow" w:eastAsia="Times New Roman" w:hAnsi="Arial Narrow"/>
      <w:b/>
      <w:bCs/>
      <w:caps/>
      <w:sz w:val="14"/>
      <w:szCs w:val="16"/>
      <w:lang w:eastAsia="ja-JP"/>
    </w:rPr>
  </w:style>
  <w:style w:type="paragraph" w:styleId="ListParagraph">
    <w:name w:val="List Paragraph"/>
    <w:basedOn w:val="Normal"/>
    <w:uiPriority w:val="34"/>
    <w:qFormat/>
    <w:rsid w:val="00EA4462"/>
    <w:pPr>
      <w:ind w:left="720"/>
      <w:contextualSpacing/>
    </w:pPr>
    <w:rPr>
      <w:rFonts w:eastAsia="Times New Roman"/>
      <w:lang w:val="en-CA" w:eastAsia="en-US"/>
    </w:rPr>
  </w:style>
  <w:style w:type="paragraph" w:styleId="EndnoteText">
    <w:name w:val="endnote text"/>
    <w:basedOn w:val="Normal"/>
    <w:link w:val="EndnoteTextChar"/>
    <w:uiPriority w:val="99"/>
    <w:unhideWhenUsed/>
    <w:rsid w:val="00EA4462"/>
    <w:rPr>
      <w:rFonts w:ascii="Cambria" w:eastAsia="MS Mincho" w:hAnsi="Cambria" w:cs="Arial"/>
      <w:sz w:val="20"/>
      <w:szCs w:val="20"/>
      <w:lang w:eastAsia="en-US"/>
    </w:rPr>
  </w:style>
  <w:style w:type="character" w:customStyle="1" w:styleId="EndnoteTextChar">
    <w:name w:val="Endnote Text Char"/>
    <w:basedOn w:val="DefaultParagraphFont"/>
    <w:link w:val="EndnoteText"/>
    <w:uiPriority w:val="99"/>
    <w:rsid w:val="00EA4462"/>
    <w:rPr>
      <w:rFonts w:ascii="Cambria" w:eastAsia="MS Mincho" w:hAnsi="Cambria" w:cs="Arial"/>
      <w:sz w:val="20"/>
      <w:szCs w:val="20"/>
    </w:rPr>
  </w:style>
  <w:style w:type="character" w:styleId="EndnoteReference">
    <w:name w:val="endnote reference"/>
    <w:uiPriority w:val="99"/>
    <w:unhideWhenUsed/>
    <w:rsid w:val="00EA4462"/>
    <w:rPr>
      <w:vertAlign w:val="superscript"/>
    </w:rPr>
  </w:style>
  <w:style w:type="paragraph" w:customStyle="1" w:styleId="Tabletitle">
    <w:name w:val="Table title"/>
    <w:basedOn w:val="Normal"/>
    <w:qFormat/>
    <w:rsid w:val="00EA4462"/>
    <w:pPr>
      <w:spacing w:after="80" w:line="276" w:lineRule="auto"/>
      <w:contextualSpacing/>
    </w:pPr>
    <w:rPr>
      <w:rFonts w:ascii="Arial Narrow" w:eastAsia="Calibri" w:hAnsi="Arial Narrow"/>
      <w:b/>
      <w:i/>
      <w:noProof/>
      <w:sz w:val="18"/>
      <w:szCs w:val="22"/>
      <w:lang w:val="en-GB" w:eastAsia="en-US"/>
    </w:rPr>
  </w:style>
  <w:style w:type="paragraph" w:customStyle="1" w:styleId="Tabletext9pkt">
    <w:name w:val="Table text 9 pkt"/>
    <w:basedOn w:val="Normal"/>
    <w:uiPriority w:val="99"/>
    <w:qFormat/>
    <w:rsid w:val="00EA4462"/>
    <w:rPr>
      <w:rFonts w:ascii="Arial Narrow" w:eastAsia="Calibri" w:hAnsi="Arial Narrow"/>
      <w:sz w:val="18"/>
      <w:szCs w:val="22"/>
      <w:lang w:val="en-GB" w:eastAsia="en-US"/>
    </w:rPr>
  </w:style>
  <w:style w:type="paragraph" w:customStyle="1" w:styleId="tabletitle0">
    <w:name w:val="table title"/>
    <w:basedOn w:val="Normal"/>
    <w:uiPriority w:val="99"/>
    <w:qFormat/>
    <w:rsid w:val="00EA4462"/>
    <w:pPr>
      <w:spacing w:after="80" w:line="276" w:lineRule="auto"/>
      <w:contextualSpacing/>
    </w:pPr>
    <w:rPr>
      <w:rFonts w:ascii="Arial Narrow" w:eastAsia="Calibri" w:hAnsi="Arial Narrow"/>
      <w:b/>
      <w:i/>
      <w:noProof/>
      <w:sz w:val="18"/>
      <w:szCs w:val="22"/>
      <w:lang w:val="en-GB" w:eastAsia="en-US"/>
    </w:rPr>
  </w:style>
  <w:style w:type="paragraph" w:customStyle="1" w:styleId="TableHeadingrowsitalic">
    <w:name w:val="Table Heading: rows italic"/>
    <w:basedOn w:val="Tabletext9pkt"/>
    <w:uiPriority w:val="99"/>
    <w:qFormat/>
    <w:rsid w:val="00EA4462"/>
    <w:rPr>
      <w:i/>
    </w:rPr>
  </w:style>
  <w:style w:type="paragraph" w:customStyle="1" w:styleId="Tableheadingcolumns8ptbold">
    <w:name w:val="Table heading columns 8 pt bold"/>
    <w:basedOn w:val="Normal"/>
    <w:uiPriority w:val="99"/>
    <w:qFormat/>
    <w:rsid w:val="00EA4462"/>
    <w:rPr>
      <w:rFonts w:ascii="Arial Narrow" w:eastAsia="MS Mincho" w:hAnsi="Arial Narrow"/>
      <w:b/>
      <w:noProof/>
      <w:sz w:val="16"/>
      <w:szCs w:val="16"/>
      <w:lang w:eastAsia="ja-JP"/>
    </w:rPr>
  </w:style>
  <w:style w:type="paragraph" w:styleId="Footer">
    <w:name w:val="footer"/>
    <w:basedOn w:val="Normal"/>
    <w:link w:val="FooterChar"/>
    <w:uiPriority w:val="99"/>
    <w:unhideWhenUsed/>
    <w:rsid w:val="001D6D84"/>
    <w:pPr>
      <w:tabs>
        <w:tab w:val="center" w:pos="4680"/>
        <w:tab w:val="right" w:pos="9360"/>
      </w:tabs>
    </w:pPr>
  </w:style>
  <w:style w:type="character" w:customStyle="1" w:styleId="FooterChar">
    <w:name w:val="Footer Char"/>
    <w:basedOn w:val="DefaultParagraphFont"/>
    <w:link w:val="Footer"/>
    <w:uiPriority w:val="99"/>
    <w:rsid w:val="001D6D84"/>
    <w:rPr>
      <w:rFonts w:ascii="Times New Roman" w:eastAsia="SimSun" w:hAnsi="Times New Roman" w:cs="Times New Roman"/>
      <w:sz w:val="24"/>
      <w:szCs w:val="24"/>
      <w:lang w:eastAsia="zh-CN"/>
    </w:rPr>
  </w:style>
  <w:style w:type="character" w:styleId="PageNumber">
    <w:name w:val="page number"/>
    <w:basedOn w:val="DefaultParagraphFont"/>
    <w:uiPriority w:val="99"/>
    <w:semiHidden/>
    <w:unhideWhenUsed/>
    <w:rsid w:val="001D6D84"/>
  </w:style>
  <w:style w:type="paragraph" w:styleId="BalloonText">
    <w:name w:val="Balloon Text"/>
    <w:basedOn w:val="Normal"/>
    <w:link w:val="BalloonTextChar"/>
    <w:uiPriority w:val="99"/>
    <w:semiHidden/>
    <w:unhideWhenUsed/>
    <w:rsid w:val="001D6D84"/>
    <w:rPr>
      <w:sz w:val="18"/>
      <w:szCs w:val="18"/>
    </w:rPr>
  </w:style>
  <w:style w:type="character" w:customStyle="1" w:styleId="BalloonTextChar">
    <w:name w:val="Balloon Text Char"/>
    <w:basedOn w:val="DefaultParagraphFont"/>
    <w:link w:val="BalloonText"/>
    <w:uiPriority w:val="99"/>
    <w:semiHidden/>
    <w:rsid w:val="001D6D84"/>
    <w:rPr>
      <w:rFonts w:ascii="Times New Roman" w:eastAsia="SimSun" w:hAnsi="Times New Roman" w:cs="Times New Roman"/>
      <w:sz w:val="18"/>
      <w:szCs w:val="18"/>
      <w:lang w:eastAsia="zh-CN"/>
    </w:rPr>
  </w:style>
  <w:style w:type="paragraph" w:styleId="FootnoteText">
    <w:name w:val="footnote text"/>
    <w:basedOn w:val="Normal"/>
    <w:link w:val="FootnoteTextChar"/>
    <w:uiPriority w:val="99"/>
    <w:unhideWhenUsed/>
    <w:rsid w:val="00AB02AE"/>
    <w:rPr>
      <w:sz w:val="20"/>
      <w:szCs w:val="20"/>
    </w:rPr>
  </w:style>
  <w:style w:type="character" w:customStyle="1" w:styleId="FootnoteTextChar">
    <w:name w:val="Footnote Text Char"/>
    <w:basedOn w:val="DefaultParagraphFont"/>
    <w:link w:val="FootnoteText"/>
    <w:uiPriority w:val="99"/>
    <w:rsid w:val="00AB02AE"/>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AB02AE"/>
    <w:rPr>
      <w:vertAlign w:val="superscript"/>
    </w:rPr>
  </w:style>
  <w:style w:type="character" w:customStyle="1" w:styleId="Heading1Char">
    <w:name w:val="Heading 1 Char"/>
    <w:basedOn w:val="DefaultParagraphFont"/>
    <w:link w:val="Heading1"/>
    <w:uiPriority w:val="9"/>
    <w:rsid w:val="00B7452C"/>
    <w:rPr>
      <w:rFonts w:asciiTheme="majorHAnsi" w:eastAsiaTheme="majorEastAsia" w:hAnsiTheme="majorHAnsi" w:cstheme="majorBidi"/>
      <w:color w:val="2C4F85" w:themeColor="accent1" w:themeShade="BF"/>
      <w:sz w:val="32"/>
      <w:szCs w:val="32"/>
      <w:lang w:val="en-GB" w:eastAsia="zh-CN"/>
    </w:rPr>
  </w:style>
  <w:style w:type="paragraph" w:customStyle="1" w:styleId="Boxtext">
    <w:name w:val="Box text"/>
    <w:basedOn w:val="Heading1"/>
    <w:link w:val="BoxtextChar"/>
    <w:qFormat/>
    <w:rsid w:val="00A912D5"/>
    <w:pPr>
      <w:spacing w:before="0"/>
      <w:jc w:val="center"/>
    </w:pPr>
    <w:rPr>
      <w:color w:val="FFFFFF" w:themeColor="background1"/>
      <w:sz w:val="24"/>
      <w:szCs w:val="24"/>
    </w:rPr>
  </w:style>
  <w:style w:type="paragraph" w:styleId="TOCHeading">
    <w:name w:val="TOC Heading"/>
    <w:basedOn w:val="Heading1"/>
    <w:next w:val="Normal"/>
    <w:uiPriority w:val="39"/>
    <w:unhideWhenUsed/>
    <w:qFormat/>
    <w:rsid w:val="00A912D5"/>
    <w:pPr>
      <w:spacing w:line="259" w:lineRule="auto"/>
      <w:outlineLvl w:val="9"/>
    </w:pPr>
    <w:rPr>
      <w:lang w:eastAsia="en-US"/>
    </w:rPr>
  </w:style>
  <w:style w:type="character" w:customStyle="1" w:styleId="BoxtextChar">
    <w:name w:val="Box text Char"/>
    <w:basedOn w:val="Heading1Char"/>
    <w:link w:val="Boxtext"/>
    <w:rsid w:val="00A912D5"/>
    <w:rPr>
      <w:rFonts w:asciiTheme="majorHAnsi" w:eastAsiaTheme="majorEastAsia" w:hAnsiTheme="majorHAnsi" w:cstheme="majorBidi"/>
      <w:color w:val="FFFFFF" w:themeColor="background1"/>
      <w:sz w:val="24"/>
      <w:szCs w:val="24"/>
      <w:lang w:val="en-GB" w:eastAsia="zh-CN"/>
    </w:rPr>
  </w:style>
  <w:style w:type="paragraph" w:styleId="TOC1">
    <w:name w:val="toc 1"/>
    <w:basedOn w:val="Normal"/>
    <w:next w:val="Normal"/>
    <w:autoRedefine/>
    <w:uiPriority w:val="39"/>
    <w:unhideWhenUsed/>
    <w:rsid w:val="00A912D5"/>
    <w:pPr>
      <w:spacing w:after="100"/>
    </w:pPr>
  </w:style>
  <w:style w:type="table" w:styleId="GridTable4-Accent1">
    <w:name w:val="Grid Table 4 Accent 1"/>
    <w:basedOn w:val="TableNormal"/>
    <w:uiPriority w:val="49"/>
    <w:rsid w:val="00757B7E"/>
    <w:pPr>
      <w:spacing w:after="0" w:line="240" w:lineRule="auto"/>
    </w:pPr>
    <w:tblPr>
      <w:tblStyleRowBandSize w:val="1"/>
      <w:tblStyleColBandSize w:val="1"/>
      <w:tblBorders>
        <w:top w:val="single" w:sz="4" w:space="0" w:color="83A4D6" w:themeColor="accent1" w:themeTint="99"/>
        <w:left w:val="single" w:sz="4" w:space="0" w:color="83A4D6" w:themeColor="accent1" w:themeTint="99"/>
        <w:bottom w:val="single" w:sz="4" w:space="0" w:color="83A4D6" w:themeColor="accent1" w:themeTint="99"/>
        <w:right w:val="single" w:sz="4" w:space="0" w:color="83A4D6" w:themeColor="accent1" w:themeTint="99"/>
        <w:insideH w:val="single" w:sz="4" w:space="0" w:color="83A4D6" w:themeColor="accent1" w:themeTint="99"/>
        <w:insideV w:val="single" w:sz="4" w:space="0" w:color="83A4D6" w:themeColor="accent1" w:themeTint="99"/>
      </w:tblBorders>
    </w:tblPr>
    <w:tblStylePr w:type="firstRow">
      <w:rPr>
        <w:b/>
        <w:bCs/>
        <w:color w:val="FFFFFF" w:themeColor="background1"/>
      </w:rPr>
      <w:tblPr/>
      <w:tcPr>
        <w:tcBorders>
          <w:top w:val="single" w:sz="4" w:space="0" w:color="3B6BB2" w:themeColor="accent1"/>
          <w:left w:val="single" w:sz="4" w:space="0" w:color="3B6BB2" w:themeColor="accent1"/>
          <w:bottom w:val="single" w:sz="4" w:space="0" w:color="3B6BB2" w:themeColor="accent1"/>
          <w:right w:val="single" w:sz="4" w:space="0" w:color="3B6BB2" w:themeColor="accent1"/>
          <w:insideH w:val="nil"/>
          <w:insideV w:val="nil"/>
        </w:tcBorders>
        <w:shd w:val="clear" w:color="auto" w:fill="3B6BB2" w:themeFill="accent1"/>
      </w:tcPr>
    </w:tblStylePr>
    <w:tblStylePr w:type="lastRow">
      <w:rPr>
        <w:b/>
        <w:bCs/>
      </w:rPr>
      <w:tblPr/>
      <w:tcPr>
        <w:tcBorders>
          <w:top w:val="double" w:sz="4" w:space="0" w:color="3B6BB2" w:themeColor="accent1"/>
        </w:tcBorders>
      </w:tcPr>
    </w:tblStylePr>
    <w:tblStylePr w:type="firstCol">
      <w:rPr>
        <w:b/>
        <w:bCs/>
      </w:rPr>
    </w:tblStylePr>
    <w:tblStylePr w:type="lastCol">
      <w:rPr>
        <w:b/>
        <w:bCs/>
      </w:rPr>
    </w:tblStylePr>
    <w:tblStylePr w:type="band1Vert">
      <w:tblPr/>
      <w:tcPr>
        <w:shd w:val="clear" w:color="auto" w:fill="D5E0F1" w:themeFill="accent1" w:themeFillTint="33"/>
      </w:tcPr>
    </w:tblStylePr>
    <w:tblStylePr w:type="band1Horz">
      <w:tblPr/>
      <w:tcPr>
        <w:shd w:val="clear" w:color="auto" w:fill="D5E0F1" w:themeFill="accent1" w:themeFillTint="33"/>
      </w:tcPr>
    </w:tblStylePr>
  </w:style>
  <w:style w:type="paragraph" w:styleId="Header">
    <w:name w:val="header"/>
    <w:basedOn w:val="Normal"/>
    <w:link w:val="HeaderChar"/>
    <w:uiPriority w:val="99"/>
    <w:unhideWhenUsed/>
    <w:rsid w:val="00757B7E"/>
    <w:pPr>
      <w:tabs>
        <w:tab w:val="center" w:pos="4680"/>
        <w:tab w:val="right" w:pos="9360"/>
      </w:tabs>
    </w:pPr>
  </w:style>
  <w:style w:type="character" w:customStyle="1" w:styleId="HeaderChar">
    <w:name w:val="Header Char"/>
    <w:basedOn w:val="DefaultParagraphFont"/>
    <w:link w:val="Header"/>
    <w:uiPriority w:val="99"/>
    <w:rsid w:val="00757B7E"/>
    <w:rPr>
      <w:rFonts w:eastAsia="SimSun" w:cstheme="minorHAnsi"/>
      <w:sz w:val="24"/>
      <w:szCs w:val="24"/>
      <w:lang w:eastAsia="zh-CN"/>
    </w:rPr>
  </w:style>
  <w:style w:type="character" w:styleId="CommentReference">
    <w:name w:val="annotation reference"/>
    <w:basedOn w:val="DefaultParagraphFont"/>
    <w:uiPriority w:val="99"/>
    <w:semiHidden/>
    <w:unhideWhenUsed/>
    <w:rsid w:val="00401AAB"/>
    <w:rPr>
      <w:sz w:val="16"/>
      <w:szCs w:val="16"/>
    </w:rPr>
  </w:style>
  <w:style w:type="paragraph" w:styleId="CommentText">
    <w:name w:val="annotation text"/>
    <w:basedOn w:val="Normal"/>
    <w:link w:val="CommentTextChar"/>
    <w:uiPriority w:val="99"/>
    <w:unhideWhenUsed/>
    <w:rsid w:val="00401AAB"/>
    <w:rPr>
      <w:sz w:val="20"/>
      <w:szCs w:val="20"/>
    </w:rPr>
  </w:style>
  <w:style w:type="character" w:customStyle="1" w:styleId="CommentTextChar">
    <w:name w:val="Comment Text Char"/>
    <w:basedOn w:val="DefaultParagraphFont"/>
    <w:link w:val="CommentText"/>
    <w:uiPriority w:val="99"/>
    <w:rsid w:val="00401AAB"/>
    <w:rPr>
      <w:rFonts w:eastAsia="SimSun" w:cstheme="minorHAnsi"/>
      <w:sz w:val="20"/>
      <w:szCs w:val="20"/>
      <w:lang w:eastAsia="zh-CN"/>
    </w:rPr>
  </w:style>
  <w:style w:type="paragraph" w:styleId="CommentSubject">
    <w:name w:val="annotation subject"/>
    <w:basedOn w:val="CommentText"/>
    <w:next w:val="CommentText"/>
    <w:link w:val="CommentSubjectChar"/>
    <w:uiPriority w:val="99"/>
    <w:semiHidden/>
    <w:unhideWhenUsed/>
    <w:rsid w:val="00401AAB"/>
    <w:rPr>
      <w:b/>
      <w:bCs/>
    </w:rPr>
  </w:style>
  <w:style w:type="character" w:customStyle="1" w:styleId="CommentSubjectChar">
    <w:name w:val="Comment Subject Char"/>
    <w:basedOn w:val="CommentTextChar"/>
    <w:link w:val="CommentSubject"/>
    <w:uiPriority w:val="99"/>
    <w:semiHidden/>
    <w:rsid w:val="00401AAB"/>
    <w:rPr>
      <w:rFonts w:eastAsia="SimSun" w:cstheme="minorHAnsi"/>
      <w:b/>
      <w:bCs/>
      <w:sz w:val="20"/>
      <w:szCs w:val="20"/>
      <w:lang w:eastAsia="zh-CN"/>
    </w:rPr>
  </w:style>
  <w:style w:type="table" w:styleId="TableGrid">
    <w:name w:val="Table Grid"/>
    <w:basedOn w:val="TableNormal"/>
    <w:uiPriority w:val="59"/>
    <w:rsid w:val="008C4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69A9"/>
    <w:pPr>
      <w:spacing w:after="0" w:line="240" w:lineRule="auto"/>
    </w:pPr>
    <w:rPr>
      <w:rFonts w:eastAsia="SimSun" w:cstheme="minorHAns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268087">
      <w:bodyDiv w:val="1"/>
      <w:marLeft w:val="0"/>
      <w:marRight w:val="0"/>
      <w:marTop w:val="0"/>
      <w:marBottom w:val="0"/>
      <w:divBdr>
        <w:top w:val="none" w:sz="0" w:space="0" w:color="auto"/>
        <w:left w:val="none" w:sz="0" w:space="0" w:color="auto"/>
        <w:bottom w:val="none" w:sz="0" w:space="0" w:color="auto"/>
        <w:right w:val="none" w:sz="0" w:space="0" w:color="auto"/>
      </w:divBdr>
    </w:div>
    <w:div w:id="554050451">
      <w:bodyDiv w:val="1"/>
      <w:marLeft w:val="0"/>
      <w:marRight w:val="0"/>
      <w:marTop w:val="0"/>
      <w:marBottom w:val="0"/>
      <w:divBdr>
        <w:top w:val="none" w:sz="0" w:space="0" w:color="auto"/>
        <w:left w:val="none" w:sz="0" w:space="0" w:color="auto"/>
        <w:bottom w:val="none" w:sz="0" w:space="0" w:color="auto"/>
        <w:right w:val="none" w:sz="0" w:space="0" w:color="auto"/>
      </w:divBdr>
    </w:div>
    <w:div w:id="589776407">
      <w:bodyDiv w:val="1"/>
      <w:marLeft w:val="0"/>
      <w:marRight w:val="0"/>
      <w:marTop w:val="0"/>
      <w:marBottom w:val="0"/>
      <w:divBdr>
        <w:top w:val="none" w:sz="0" w:space="0" w:color="auto"/>
        <w:left w:val="none" w:sz="0" w:space="0" w:color="auto"/>
        <w:bottom w:val="none" w:sz="0" w:space="0" w:color="auto"/>
        <w:right w:val="none" w:sz="0" w:space="0" w:color="auto"/>
      </w:divBdr>
      <w:divsChild>
        <w:div w:id="1471363219">
          <w:marLeft w:val="0"/>
          <w:marRight w:val="0"/>
          <w:marTop w:val="0"/>
          <w:marBottom w:val="0"/>
          <w:divBdr>
            <w:top w:val="none" w:sz="0" w:space="0" w:color="auto"/>
            <w:left w:val="none" w:sz="0" w:space="0" w:color="auto"/>
            <w:bottom w:val="none" w:sz="0" w:space="0" w:color="auto"/>
            <w:right w:val="none" w:sz="0" w:space="0" w:color="auto"/>
          </w:divBdr>
          <w:divsChild>
            <w:div w:id="1368603578">
              <w:marLeft w:val="0"/>
              <w:marRight w:val="0"/>
              <w:marTop w:val="0"/>
              <w:marBottom w:val="0"/>
              <w:divBdr>
                <w:top w:val="none" w:sz="0" w:space="0" w:color="auto"/>
                <w:left w:val="none" w:sz="0" w:space="0" w:color="auto"/>
                <w:bottom w:val="none" w:sz="0" w:space="0" w:color="auto"/>
                <w:right w:val="none" w:sz="0" w:space="0" w:color="auto"/>
              </w:divBdr>
              <w:divsChild>
                <w:div w:id="402947223">
                  <w:marLeft w:val="0"/>
                  <w:marRight w:val="0"/>
                  <w:marTop w:val="0"/>
                  <w:marBottom w:val="0"/>
                  <w:divBdr>
                    <w:top w:val="none" w:sz="0" w:space="0" w:color="auto"/>
                    <w:left w:val="none" w:sz="0" w:space="0" w:color="auto"/>
                    <w:bottom w:val="none" w:sz="0" w:space="0" w:color="auto"/>
                    <w:right w:val="none" w:sz="0" w:space="0" w:color="auto"/>
                  </w:divBdr>
                  <w:divsChild>
                    <w:div w:id="2053265568">
                      <w:marLeft w:val="0"/>
                      <w:marRight w:val="0"/>
                      <w:marTop w:val="0"/>
                      <w:marBottom w:val="0"/>
                      <w:divBdr>
                        <w:top w:val="none" w:sz="0" w:space="0" w:color="auto"/>
                        <w:left w:val="none" w:sz="0" w:space="0" w:color="auto"/>
                        <w:bottom w:val="none" w:sz="0" w:space="0" w:color="auto"/>
                        <w:right w:val="none" w:sz="0" w:space="0" w:color="auto"/>
                      </w:divBdr>
                      <w:divsChild>
                        <w:div w:id="1015570617">
                          <w:marLeft w:val="0"/>
                          <w:marRight w:val="0"/>
                          <w:marTop w:val="0"/>
                          <w:marBottom w:val="0"/>
                          <w:divBdr>
                            <w:top w:val="none" w:sz="0" w:space="0" w:color="auto"/>
                            <w:left w:val="none" w:sz="0" w:space="0" w:color="auto"/>
                            <w:bottom w:val="none" w:sz="0" w:space="0" w:color="auto"/>
                            <w:right w:val="none" w:sz="0" w:space="0" w:color="auto"/>
                          </w:divBdr>
                        </w:div>
                        <w:div w:id="762992048">
                          <w:marLeft w:val="0"/>
                          <w:marRight w:val="0"/>
                          <w:marTop w:val="0"/>
                          <w:marBottom w:val="0"/>
                          <w:divBdr>
                            <w:top w:val="none" w:sz="0" w:space="0" w:color="auto"/>
                            <w:left w:val="none" w:sz="0" w:space="0" w:color="auto"/>
                            <w:bottom w:val="none" w:sz="0" w:space="0" w:color="auto"/>
                            <w:right w:val="none" w:sz="0" w:space="0" w:color="auto"/>
                          </w:divBdr>
                        </w:div>
                        <w:div w:id="1898281689">
                          <w:marLeft w:val="0"/>
                          <w:marRight w:val="0"/>
                          <w:marTop w:val="0"/>
                          <w:marBottom w:val="0"/>
                          <w:divBdr>
                            <w:top w:val="none" w:sz="0" w:space="0" w:color="auto"/>
                            <w:left w:val="none" w:sz="0" w:space="0" w:color="auto"/>
                            <w:bottom w:val="none" w:sz="0" w:space="0" w:color="auto"/>
                            <w:right w:val="none" w:sz="0" w:space="0" w:color="auto"/>
                          </w:divBdr>
                        </w:div>
                        <w:div w:id="349988515">
                          <w:marLeft w:val="0"/>
                          <w:marRight w:val="0"/>
                          <w:marTop w:val="0"/>
                          <w:marBottom w:val="0"/>
                          <w:divBdr>
                            <w:top w:val="none" w:sz="0" w:space="0" w:color="auto"/>
                            <w:left w:val="none" w:sz="0" w:space="0" w:color="auto"/>
                            <w:bottom w:val="none" w:sz="0" w:space="0" w:color="auto"/>
                            <w:right w:val="none" w:sz="0" w:space="0" w:color="auto"/>
                          </w:divBdr>
                        </w:div>
                        <w:div w:id="596409800">
                          <w:marLeft w:val="0"/>
                          <w:marRight w:val="0"/>
                          <w:marTop w:val="0"/>
                          <w:marBottom w:val="0"/>
                          <w:divBdr>
                            <w:top w:val="none" w:sz="0" w:space="0" w:color="auto"/>
                            <w:left w:val="none" w:sz="0" w:space="0" w:color="auto"/>
                            <w:bottom w:val="none" w:sz="0" w:space="0" w:color="auto"/>
                            <w:right w:val="none" w:sz="0" w:space="0" w:color="auto"/>
                          </w:divBdr>
                        </w:div>
                        <w:div w:id="44528983">
                          <w:marLeft w:val="0"/>
                          <w:marRight w:val="0"/>
                          <w:marTop w:val="0"/>
                          <w:marBottom w:val="0"/>
                          <w:divBdr>
                            <w:top w:val="none" w:sz="0" w:space="0" w:color="auto"/>
                            <w:left w:val="none" w:sz="0" w:space="0" w:color="auto"/>
                            <w:bottom w:val="none" w:sz="0" w:space="0" w:color="auto"/>
                            <w:right w:val="none" w:sz="0" w:space="0" w:color="auto"/>
                          </w:divBdr>
                        </w:div>
                        <w:div w:id="869998725">
                          <w:marLeft w:val="0"/>
                          <w:marRight w:val="0"/>
                          <w:marTop w:val="0"/>
                          <w:marBottom w:val="0"/>
                          <w:divBdr>
                            <w:top w:val="none" w:sz="0" w:space="0" w:color="auto"/>
                            <w:left w:val="none" w:sz="0" w:space="0" w:color="auto"/>
                            <w:bottom w:val="none" w:sz="0" w:space="0" w:color="auto"/>
                            <w:right w:val="none" w:sz="0" w:space="0" w:color="auto"/>
                          </w:divBdr>
                        </w:div>
                        <w:div w:id="252932506">
                          <w:marLeft w:val="0"/>
                          <w:marRight w:val="0"/>
                          <w:marTop w:val="0"/>
                          <w:marBottom w:val="0"/>
                          <w:divBdr>
                            <w:top w:val="none" w:sz="0" w:space="0" w:color="auto"/>
                            <w:left w:val="none" w:sz="0" w:space="0" w:color="auto"/>
                            <w:bottom w:val="none" w:sz="0" w:space="0" w:color="auto"/>
                            <w:right w:val="none" w:sz="0" w:space="0" w:color="auto"/>
                          </w:divBdr>
                        </w:div>
                        <w:div w:id="1446195752">
                          <w:marLeft w:val="0"/>
                          <w:marRight w:val="0"/>
                          <w:marTop w:val="0"/>
                          <w:marBottom w:val="0"/>
                          <w:divBdr>
                            <w:top w:val="none" w:sz="0" w:space="0" w:color="auto"/>
                            <w:left w:val="none" w:sz="0" w:space="0" w:color="auto"/>
                            <w:bottom w:val="none" w:sz="0" w:space="0" w:color="auto"/>
                            <w:right w:val="none" w:sz="0" w:space="0" w:color="auto"/>
                          </w:divBdr>
                        </w:div>
                        <w:div w:id="1067075457">
                          <w:marLeft w:val="0"/>
                          <w:marRight w:val="0"/>
                          <w:marTop w:val="0"/>
                          <w:marBottom w:val="0"/>
                          <w:divBdr>
                            <w:top w:val="none" w:sz="0" w:space="0" w:color="auto"/>
                            <w:left w:val="none" w:sz="0" w:space="0" w:color="auto"/>
                            <w:bottom w:val="none" w:sz="0" w:space="0" w:color="auto"/>
                            <w:right w:val="none" w:sz="0" w:space="0" w:color="auto"/>
                          </w:divBdr>
                        </w:div>
                        <w:div w:id="1065449527">
                          <w:marLeft w:val="0"/>
                          <w:marRight w:val="0"/>
                          <w:marTop w:val="0"/>
                          <w:marBottom w:val="0"/>
                          <w:divBdr>
                            <w:top w:val="none" w:sz="0" w:space="0" w:color="auto"/>
                            <w:left w:val="none" w:sz="0" w:space="0" w:color="auto"/>
                            <w:bottom w:val="none" w:sz="0" w:space="0" w:color="auto"/>
                            <w:right w:val="none" w:sz="0" w:space="0" w:color="auto"/>
                          </w:divBdr>
                        </w:div>
                        <w:div w:id="241260432">
                          <w:marLeft w:val="0"/>
                          <w:marRight w:val="0"/>
                          <w:marTop w:val="0"/>
                          <w:marBottom w:val="0"/>
                          <w:divBdr>
                            <w:top w:val="none" w:sz="0" w:space="0" w:color="auto"/>
                            <w:left w:val="none" w:sz="0" w:space="0" w:color="auto"/>
                            <w:bottom w:val="none" w:sz="0" w:space="0" w:color="auto"/>
                            <w:right w:val="none" w:sz="0" w:space="0" w:color="auto"/>
                          </w:divBdr>
                        </w:div>
                        <w:div w:id="1581258247">
                          <w:marLeft w:val="0"/>
                          <w:marRight w:val="0"/>
                          <w:marTop w:val="0"/>
                          <w:marBottom w:val="0"/>
                          <w:divBdr>
                            <w:top w:val="none" w:sz="0" w:space="0" w:color="auto"/>
                            <w:left w:val="none" w:sz="0" w:space="0" w:color="auto"/>
                            <w:bottom w:val="none" w:sz="0" w:space="0" w:color="auto"/>
                            <w:right w:val="none" w:sz="0" w:space="0" w:color="auto"/>
                          </w:divBdr>
                        </w:div>
                        <w:div w:id="578293839">
                          <w:marLeft w:val="0"/>
                          <w:marRight w:val="0"/>
                          <w:marTop w:val="0"/>
                          <w:marBottom w:val="0"/>
                          <w:divBdr>
                            <w:top w:val="none" w:sz="0" w:space="0" w:color="auto"/>
                            <w:left w:val="none" w:sz="0" w:space="0" w:color="auto"/>
                            <w:bottom w:val="none" w:sz="0" w:space="0" w:color="auto"/>
                            <w:right w:val="none" w:sz="0" w:space="0" w:color="auto"/>
                          </w:divBdr>
                        </w:div>
                        <w:div w:id="1012683885">
                          <w:marLeft w:val="0"/>
                          <w:marRight w:val="0"/>
                          <w:marTop w:val="0"/>
                          <w:marBottom w:val="0"/>
                          <w:divBdr>
                            <w:top w:val="none" w:sz="0" w:space="0" w:color="auto"/>
                            <w:left w:val="none" w:sz="0" w:space="0" w:color="auto"/>
                            <w:bottom w:val="none" w:sz="0" w:space="0" w:color="auto"/>
                            <w:right w:val="none" w:sz="0" w:space="0" w:color="auto"/>
                          </w:divBdr>
                        </w:div>
                        <w:div w:id="127359017">
                          <w:marLeft w:val="0"/>
                          <w:marRight w:val="0"/>
                          <w:marTop w:val="0"/>
                          <w:marBottom w:val="0"/>
                          <w:divBdr>
                            <w:top w:val="none" w:sz="0" w:space="0" w:color="auto"/>
                            <w:left w:val="none" w:sz="0" w:space="0" w:color="auto"/>
                            <w:bottom w:val="none" w:sz="0" w:space="0" w:color="auto"/>
                            <w:right w:val="none" w:sz="0" w:space="0" w:color="auto"/>
                          </w:divBdr>
                        </w:div>
                        <w:div w:id="848713680">
                          <w:marLeft w:val="0"/>
                          <w:marRight w:val="0"/>
                          <w:marTop w:val="0"/>
                          <w:marBottom w:val="0"/>
                          <w:divBdr>
                            <w:top w:val="none" w:sz="0" w:space="0" w:color="auto"/>
                            <w:left w:val="none" w:sz="0" w:space="0" w:color="auto"/>
                            <w:bottom w:val="none" w:sz="0" w:space="0" w:color="auto"/>
                            <w:right w:val="none" w:sz="0" w:space="0" w:color="auto"/>
                          </w:divBdr>
                        </w:div>
                        <w:div w:id="1452044480">
                          <w:marLeft w:val="0"/>
                          <w:marRight w:val="0"/>
                          <w:marTop w:val="0"/>
                          <w:marBottom w:val="0"/>
                          <w:divBdr>
                            <w:top w:val="none" w:sz="0" w:space="0" w:color="auto"/>
                            <w:left w:val="none" w:sz="0" w:space="0" w:color="auto"/>
                            <w:bottom w:val="none" w:sz="0" w:space="0" w:color="auto"/>
                            <w:right w:val="none" w:sz="0" w:space="0" w:color="auto"/>
                          </w:divBdr>
                        </w:div>
                        <w:div w:id="240067241">
                          <w:marLeft w:val="0"/>
                          <w:marRight w:val="0"/>
                          <w:marTop w:val="0"/>
                          <w:marBottom w:val="0"/>
                          <w:divBdr>
                            <w:top w:val="none" w:sz="0" w:space="0" w:color="auto"/>
                            <w:left w:val="none" w:sz="0" w:space="0" w:color="auto"/>
                            <w:bottom w:val="none" w:sz="0" w:space="0" w:color="auto"/>
                            <w:right w:val="none" w:sz="0" w:space="0" w:color="auto"/>
                          </w:divBdr>
                        </w:div>
                        <w:div w:id="1352299346">
                          <w:marLeft w:val="0"/>
                          <w:marRight w:val="0"/>
                          <w:marTop w:val="0"/>
                          <w:marBottom w:val="0"/>
                          <w:divBdr>
                            <w:top w:val="none" w:sz="0" w:space="0" w:color="auto"/>
                            <w:left w:val="none" w:sz="0" w:space="0" w:color="auto"/>
                            <w:bottom w:val="none" w:sz="0" w:space="0" w:color="auto"/>
                            <w:right w:val="none" w:sz="0" w:space="0" w:color="auto"/>
                          </w:divBdr>
                        </w:div>
                        <w:div w:id="1060790361">
                          <w:marLeft w:val="0"/>
                          <w:marRight w:val="0"/>
                          <w:marTop w:val="0"/>
                          <w:marBottom w:val="0"/>
                          <w:divBdr>
                            <w:top w:val="none" w:sz="0" w:space="0" w:color="auto"/>
                            <w:left w:val="none" w:sz="0" w:space="0" w:color="auto"/>
                            <w:bottom w:val="none" w:sz="0" w:space="0" w:color="auto"/>
                            <w:right w:val="none" w:sz="0" w:space="0" w:color="auto"/>
                          </w:divBdr>
                        </w:div>
                        <w:div w:id="14672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1580">
          <w:marLeft w:val="0"/>
          <w:marRight w:val="0"/>
          <w:marTop w:val="0"/>
          <w:marBottom w:val="0"/>
          <w:divBdr>
            <w:top w:val="none" w:sz="0" w:space="0" w:color="auto"/>
            <w:left w:val="none" w:sz="0" w:space="0" w:color="auto"/>
            <w:bottom w:val="none" w:sz="0" w:space="0" w:color="auto"/>
            <w:right w:val="none" w:sz="0" w:space="0" w:color="auto"/>
          </w:divBdr>
          <w:divsChild>
            <w:div w:id="639111196">
              <w:marLeft w:val="0"/>
              <w:marRight w:val="0"/>
              <w:marTop w:val="0"/>
              <w:marBottom w:val="0"/>
              <w:divBdr>
                <w:top w:val="none" w:sz="0" w:space="0" w:color="auto"/>
                <w:left w:val="none" w:sz="0" w:space="0" w:color="auto"/>
                <w:bottom w:val="none" w:sz="0" w:space="0" w:color="auto"/>
                <w:right w:val="none" w:sz="0" w:space="0" w:color="auto"/>
              </w:divBdr>
              <w:divsChild>
                <w:div w:id="46883278">
                  <w:marLeft w:val="0"/>
                  <w:marRight w:val="0"/>
                  <w:marTop w:val="0"/>
                  <w:marBottom w:val="0"/>
                  <w:divBdr>
                    <w:top w:val="none" w:sz="0" w:space="0" w:color="auto"/>
                    <w:left w:val="none" w:sz="0" w:space="0" w:color="auto"/>
                    <w:bottom w:val="none" w:sz="0" w:space="0" w:color="auto"/>
                    <w:right w:val="none" w:sz="0" w:space="0" w:color="auto"/>
                  </w:divBdr>
                </w:div>
                <w:div w:id="14052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09241">
          <w:marLeft w:val="0"/>
          <w:marRight w:val="0"/>
          <w:marTop w:val="0"/>
          <w:marBottom w:val="0"/>
          <w:divBdr>
            <w:top w:val="none" w:sz="0" w:space="0" w:color="auto"/>
            <w:left w:val="none" w:sz="0" w:space="0" w:color="auto"/>
            <w:bottom w:val="none" w:sz="0" w:space="0" w:color="auto"/>
            <w:right w:val="none" w:sz="0" w:space="0" w:color="auto"/>
          </w:divBdr>
          <w:divsChild>
            <w:div w:id="222067159">
              <w:marLeft w:val="0"/>
              <w:marRight w:val="0"/>
              <w:marTop w:val="0"/>
              <w:marBottom w:val="0"/>
              <w:divBdr>
                <w:top w:val="none" w:sz="0" w:space="0" w:color="auto"/>
                <w:left w:val="none" w:sz="0" w:space="0" w:color="auto"/>
                <w:bottom w:val="none" w:sz="0" w:space="0" w:color="auto"/>
                <w:right w:val="none" w:sz="0" w:space="0" w:color="auto"/>
              </w:divBdr>
              <w:divsChild>
                <w:div w:id="1564483804">
                  <w:marLeft w:val="0"/>
                  <w:marRight w:val="0"/>
                  <w:marTop w:val="0"/>
                  <w:marBottom w:val="0"/>
                  <w:divBdr>
                    <w:top w:val="none" w:sz="0" w:space="0" w:color="auto"/>
                    <w:left w:val="none" w:sz="0" w:space="0" w:color="auto"/>
                    <w:bottom w:val="none" w:sz="0" w:space="0" w:color="auto"/>
                    <w:right w:val="none" w:sz="0" w:space="0" w:color="auto"/>
                  </w:divBdr>
                </w:div>
                <w:div w:id="5202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9933">
          <w:marLeft w:val="0"/>
          <w:marRight w:val="0"/>
          <w:marTop w:val="0"/>
          <w:marBottom w:val="0"/>
          <w:divBdr>
            <w:top w:val="none" w:sz="0" w:space="0" w:color="auto"/>
            <w:left w:val="none" w:sz="0" w:space="0" w:color="auto"/>
            <w:bottom w:val="none" w:sz="0" w:space="0" w:color="auto"/>
            <w:right w:val="none" w:sz="0" w:space="0" w:color="auto"/>
          </w:divBdr>
          <w:divsChild>
            <w:div w:id="1525898805">
              <w:marLeft w:val="0"/>
              <w:marRight w:val="0"/>
              <w:marTop w:val="0"/>
              <w:marBottom w:val="0"/>
              <w:divBdr>
                <w:top w:val="none" w:sz="0" w:space="0" w:color="auto"/>
                <w:left w:val="none" w:sz="0" w:space="0" w:color="auto"/>
                <w:bottom w:val="none" w:sz="0" w:space="0" w:color="auto"/>
                <w:right w:val="none" w:sz="0" w:space="0" w:color="auto"/>
              </w:divBdr>
              <w:divsChild>
                <w:div w:id="1632664617">
                  <w:marLeft w:val="0"/>
                  <w:marRight w:val="0"/>
                  <w:marTop w:val="0"/>
                  <w:marBottom w:val="0"/>
                  <w:divBdr>
                    <w:top w:val="none" w:sz="0" w:space="0" w:color="auto"/>
                    <w:left w:val="none" w:sz="0" w:space="0" w:color="auto"/>
                    <w:bottom w:val="none" w:sz="0" w:space="0" w:color="auto"/>
                    <w:right w:val="none" w:sz="0" w:space="0" w:color="auto"/>
                  </w:divBdr>
                  <w:divsChild>
                    <w:div w:id="333579372">
                      <w:marLeft w:val="0"/>
                      <w:marRight w:val="0"/>
                      <w:marTop w:val="0"/>
                      <w:marBottom w:val="0"/>
                      <w:divBdr>
                        <w:top w:val="none" w:sz="0" w:space="0" w:color="auto"/>
                        <w:left w:val="none" w:sz="0" w:space="0" w:color="auto"/>
                        <w:bottom w:val="none" w:sz="0" w:space="0" w:color="auto"/>
                        <w:right w:val="none" w:sz="0" w:space="0" w:color="auto"/>
                      </w:divBdr>
                    </w:div>
                    <w:div w:id="8559272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082619">
                          <w:marLeft w:val="0"/>
                          <w:marRight w:val="0"/>
                          <w:marTop w:val="0"/>
                          <w:marBottom w:val="0"/>
                          <w:divBdr>
                            <w:top w:val="none" w:sz="0" w:space="0" w:color="auto"/>
                            <w:left w:val="none" w:sz="0" w:space="0" w:color="auto"/>
                            <w:bottom w:val="none" w:sz="0" w:space="0" w:color="auto"/>
                            <w:right w:val="none" w:sz="0" w:space="0" w:color="auto"/>
                          </w:divBdr>
                          <w:divsChild>
                            <w:div w:id="2073964124">
                              <w:marLeft w:val="0"/>
                              <w:marRight w:val="0"/>
                              <w:marTop w:val="0"/>
                              <w:marBottom w:val="0"/>
                              <w:divBdr>
                                <w:top w:val="none" w:sz="0" w:space="0" w:color="auto"/>
                                <w:left w:val="none" w:sz="0" w:space="0" w:color="auto"/>
                                <w:bottom w:val="none" w:sz="0" w:space="0" w:color="auto"/>
                                <w:right w:val="none" w:sz="0" w:space="0" w:color="auto"/>
                              </w:divBdr>
                              <w:divsChild>
                                <w:div w:id="942884940">
                                  <w:marLeft w:val="0"/>
                                  <w:marRight w:val="0"/>
                                  <w:marTop w:val="0"/>
                                  <w:marBottom w:val="0"/>
                                  <w:divBdr>
                                    <w:top w:val="none" w:sz="0" w:space="0" w:color="auto"/>
                                    <w:left w:val="none" w:sz="0" w:space="0" w:color="auto"/>
                                    <w:bottom w:val="none" w:sz="0" w:space="0" w:color="auto"/>
                                    <w:right w:val="none" w:sz="0" w:space="0" w:color="auto"/>
                                  </w:divBdr>
                                </w:div>
                                <w:div w:id="903838079">
                                  <w:marLeft w:val="0"/>
                                  <w:marRight w:val="0"/>
                                  <w:marTop w:val="0"/>
                                  <w:marBottom w:val="0"/>
                                  <w:divBdr>
                                    <w:top w:val="none" w:sz="0" w:space="0" w:color="auto"/>
                                    <w:left w:val="none" w:sz="0" w:space="0" w:color="auto"/>
                                    <w:bottom w:val="none" w:sz="0" w:space="0" w:color="auto"/>
                                    <w:right w:val="none" w:sz="0" w:space="0" w:color="auto"/>
                                  </w:divBdr>
                                </w:div>
                                <w:div w:id="1012613171">
                                  <w:marLeft w:val="0"/>
                                  <w:marRight w:val="0"/>
                                  <w:marTop w:val="0"/>
                                  <w:marBottom w:val="0"/>
                                  <w:divBdr>
                                    <w:top w:val="none" w:sz="0" w:space="0" w:color="auto"/>
                                    <w:left w:val="none" w:sz="0" w:space="0" w:color="auto"/>
                                    <w:bottom w:val="none" w:sz="0" w:space="0" w:color="auto"/>
                                    <w:right w:val="none" w:sz="0" w:space="0" w:color="auto"/>
                                  </w:divBdr>
                                </w:div>
                                <w:div w:id="1859612634">
                                  <w:marLeft w:val="0"/>
                                  <w:marRight w:val="0"/>
                                  <w:marTop w:val="0"/>
                                  <w:marBottom w:val="0"/>
                                  <w:divBdr>
                                    <w:top w:val="none" w:sz="0" w:space="0" w:color="auto"/>
                                    <w:left w:val="none" w:sz="0" w:space="0" w:color="auto"/>
                                    <w:bottom w:val="none" w:sz="0" w:space="0" w:color="auto"/>
                                    <w:right w:val="none" w:sz="0" w:space="0" w:color="auto"/>
                                  </w:divBdr>
                                </w:div>
                                <w:div w:id="350761142">
                                  <w:marLeft w:val="0"/>
                                  <w:marRight w:val="0"/>
                                  <w:marTop w:val="0"/>
                                  <w:marBottom w:val="0"/>
                                  <w:divBdr>
                                    <w:top w:val="none" w:sz="0" w:space="0" w:color="auto"/>
                                    <w:left w:val="none" w:sz="0" w:space="0" w:color="auto"/>
                                    <w:bottom w:val="none" w:sz="0" w:space="0" w:color="auto"/>
                                    <w:right w:val="none" w:sz="0" w:space="0" w:color="auto"/>
                                  </w:divBdr>
                                </w:div>
                                <w:div w:id="1581862376">
                                  <w:marLeft w:val="0"/>
                                  <w:marRight w:val="0"/>
                                  <w:marTop w:val="0"/>
                                  <w:marBottom w:val="0"/>
                                  <w:divBdr>
                                    <w:top w:val="none" w:sz="0" w:space="0" w:color="auto"/>
                                    <w:left w:val="none" w:sz="0" w:space="0" w:color="auto"/>
                                    <w:bottom w:val="none" w:sz="0" w:space="0" w:color="auto"/>
                                    <w:right w:val="none" w:sz="0" w:space="0" w:color="auto"/>
                                  </w:divBdr>
                                </w:div>
                                <w:div w:id="1688293465">
                                  <w:marLeft w:val="0"/>
                                  <w:marRight w:val="0"/>
                                  <w:marTop w:val="0"/>
                                  <w:marBottom w:val="0"/>
                                  <w:divBdr>
                                    <w:top w:val="none" w:sz="0" w:space="0" w:color="auto"/>
                                    <w:left w:val="none" w:sz="0" w:space="0" w:color="auto"/>
                                    <w:bottom w:val="none" w:sz="0" w:space="0" w:color="auto"/>
                                    <w:right w:val="none" w:sz="0" w:space="0" w:color="auto"/>
                                  </w:divBdr>
                                </w:div>
                                <w:div w:id="2099058862">
                                  <w:marLeft w:val="0"/>
                                  <w:marRight w:val="0"/>
                                  <w:marTop w:val="0"/>
                                  <w:marBottom w:val="0"/>
                                  <w:divBdr>
                                    <w:top w:val="none" w:sz="0" w:space="0" w:color="auto"/>
                                    <w:left w:val="none" w:sz="0" w:space="0" w:color="auto"/>
                                    <w:bottom w:val="none" w:sz="0" w:space="0" w:color="auto"/>
                                    <w:right w:val="none" w:sz="0" w:space="0" w:color="auto"/>
                                  </w:divBdr>
                                </w:div>
                                <w:div w:id="1585063474">
                                  <w:marLeft w:val="0"/>
                                  <w:marRight w:val="0"/>
                                  <w:marTop w:val="0"/>
                                  <w:marBottom w:val="0"/>
                                  <w:divBdr>
                                    <w:top w:val="none" w:sz="0" w:space="0" w:color="auto"/>
                                    <w:left w:val="none" w:sz="0" w:space="0" w:color="auto"/>
                                    <w:bottom w:val="none" w:sz="0" w:space="0" w:color="auto"/>
                                    <w:right w:val="none" w:sz="0" w:space="0" w:color="auto"/>
                                  </w:divBdr>
                                </w:div>
                                <w:div w:id="1876194677">
                                  <w:marLeft w:val="0"/>
                                  <w:marRight w:val="0"/>
                                  <w:marTop w:val="0"/>
                                  <w:marBottom w:val="0"/>
                                  <w:divBdr>
                                    <w:top w:val="none" w:sz="0" w:space="0" w:color="auto"/>
                                    <w:left w:val="none" w:sz="0" w:space="0" w:color="auto"/>
                                    <w:bottom w:val="none" w:sz="0" w:space="0" w:color="auto"/>
                                    <w:right w:val="none" w:sz="0" w:space="0" w:color="auto"/>
                                  </w:divBdr>
                                </w:div>
                                <w:div w:id="971209554">
                                  <w:marLeft w:val="0"/>
                                  <w:marRight w:val="0"/>
                                  <w:marTop w:val="0"/>
                                  <w:marBottom w:val="0"/>
                                  <w:divBdr>
                                    <w:top w:val="none" w:sz="0" w:space="0" w:color="auto"/>
                                    <w:left w:val="none" w:sz="0" w:space="0" w:color="auto"/>
                                    <w:bottom w:val="none" w:sz="0" w:space="0" w:color="auto"/>
                                    <w:right w:val="none" w:sz="0" w:space="0" w:color="auto"/>
                                  </w:divBdr>
                                </w:div>
                                <w:div w:id="787705684">
                                  <w:marLeft w:val="0"/>
                                  <w:marRight w:val="0"/>
                                  <w:marTop w:val="0"/>
                                  <w:marBottom w:val="0"/>
                                  <w:divBdr>
                                    <w:top w:val="none" w:sz="0" w:space="0" w:color="auto"/>
                                    <w:left w:val="none" w:sz="0" w:space="0" w:color="auto"/>
                                    <w:bottom w:val="none" w:sz="0" w:space="0" w:color="auto"/>
                                    <w:right w:val="none" w:sz="0" w:space="0" w:color="auto"/>
                                  </w:divBdr>
                                </w:div>
                                <w:div w:id="392853460">
                                  <w:marLeft w:val="0"/>
                                  <w:marRight w:val="0"/>
                                  <w:marTop w:val="0"/>
                                  <w:marBottom w:val="0"/>
                                  <w:divBdr>
                                    <w:top w:val="none" w:sz="0" w:space="0" w:color="auto"/>
                                    <w:left w:val="none" w:sz="0" w:space="0" w:color="auto"/>
                                    <w:bottom w:val="none" w:sz="0" w:space="0" w:color="auto"/>
                                    <w:right w:val="none" w:sz="0" w:space="0" w:color="auto"/>
                                  </w:divBdr>
                                </w:div>
                                <w:div w:id="714164857">
                                  <w:marLeft w:val="0"/>
                                  <w:marRight w:val="0"/>
                                  <w:marTop w:val="0"/>
                                  <w:marBottom w:val="0"/>
                                  <w:divBdr>
                                    <w:top w:val="none" w:sz="0" w:space="0" w:color="auto"/>
                                    <w:left w:val="none" w:sz="0" w:space="0" w:color="auto"/>
                                    <w:bottom w:val="none" w:sz="0" w:space="0" w:color="auto"/>
                                    <w:right w:val="none" w:sz="0" w:space="0" w:color="auto"/>
                                  </w:divBdr>
                                </w:div>
                                <w:div w:id="652753625">
                                  <w:marLeft w:val="0"/>
                                  <w:marRight w:val="0"/>
                                  <w:marTop w:val="0"/>
                                  <w:marBottom w:val="0"/>
                                  <w:divBdr>
                                    <w:top w:val="none" w:sz="0" w:space="0" w:color="auto"/>
                                    <w:left w:val="none" w:sz="0" w:space="0" w:color="auto"/>
                                    <w:bottom w:val="none" w:sz="0" w:space="0" w:color="auto"/>
                                    <w:right w:val="none" w:sz="0" w:space="0" w:color="auto"/>
                                  </w:divBdr>
                                </w:div>
                                <w:div w:id="9445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NITAG">
      <a:dk1>
        <a:srgbClr val="000000"/>
      </a:dk1>
      <a:lt1>
        <a:sysClr val="window" lastClr="FFFFFF"/>
      </a:lt1>
      <a:dk2>
        <a:srgbClr val="262626"/>
      </a:dk2>
      <a:lt2>
        <a:srgbClr val="E8E8E8"/>
      </a:lt2>
      <a:accent1>
        <a:srgbClr val="3B6BB2"/>
      </a:accent1>
      <a:accent2>
        <a:srgbClr val="679335"/>
      </a:accent2>
      <a:accent3>
        <a:srgbClr val="872B74"/>
      </a:accent3>
      <a:accent4>
        <a:srgbClr val="BD582C"/>
      </a:accent4>
      <a:accent5>
        <a:srgbClr val="C2BC80"/>
      </a:accent5>
      <a:accent6>
        <a:srgbClr val="94A088"/>
      </a:accent6>
      <a:hlink>
        <a:srgbClr val="2998E3"/>
      </a:hlink>
      <a:folHlink>
        <a:srgbClr val="8C8C8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eP063JyzkBqI3VaImbImIH5nDSw==">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MOSINA, Liudmila</dc:creator>
  <cp:lastModifiedBy>Steve Hadler</cp:lastModifiedBy>
  <cp:revision>4</cp:revision>
  <dcterms:created xsi:type="dcterms:W3CDTF">2024-08-25T16:18:00Z</dcterms:created>
  <dcterms:modified xsi:type="dcterms:W3CDTF">2024-08-25T17:28:00Z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2024-08-20T17:39:24Z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5c8732cc-9c6e-4baa-8a8c-3adf9508e2f6</vt:lpwstr>
  </property>
  <property fmtid="{D5CDD505-2E9C-101B-9397-08002B2CF9AE}" pid="8" name="MSIP_Label_7b94a7b8-f06c-4dfe-bdcc-9b548fd58c31_ContentBits">
    <vt:lpwstr>0</vt:lpwstr>
  </property>
</Properties>
</file>