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5F45" w14:textId="77777777" w:rsidR="00BB1FA4" w:rsidRPr="0081258F" w:rsidRDefault="00BB1FA4" w:rsidP="00E071C3">
      <w:pPr>
        <w:pStyle w:val="NoSpacing"/>
        <w:jc w:val="center"/>
        <w:rPr>
          <w:sz w:val="40"/>
          <w:szCs w:val="40"/>
        </w:rPr>
      </w:pPr>
      <w:r w:rsidRPr="0081258F">
        <w:rPr>
          <w:sz w:val="40"/>
          <w:szCs w:val="40"/>
        </w:rPr>
        <w:t>University of Cape Town</w:t>
      </w:r>
    </w:p>
    <w:p w14:paraId="5DC0810B" w14:textId="05AB6CCB" w:rsidR="00C12A1B" w:rsidRPr="0081258F" w:rsidRDefault="00E071C3" w:rsidP="00E071C3">
      <w:pPr>
        <w:pStyle w:val="NoSpacing"/>
        <w:jc w:val="center"/>
        <w:rPr>
          <w:sz w:val="40"/>
          <w:szCs w:val="40"/>
        </w:rPr>
      </w:pPr>
      <w:r w:rsidRPr="0081258F">
        <w:rPr>
          <w:sz w:val="40"/>
          <w:szCs w:val="40"/>
        </w:rPr>
        <w:t>Institutional Biosafety Committee</w:t>
      </w:r>
    </w:p>
    <w:p w14:paraId="5609FABD" w14:textId="1B775E41" w:rsidR="00E071C3" w:rsidRPr="0081258F" w:rsidRDefault="00E071C3" w:rsidP="00E071C3">
      <w:pPr>
        <w:pStyle w:val="NoSpacing"/>
        <w:jc w:val="center"/>
        <w:rPr>
          <w:sz w:val="40"/>
          <w:szCs w:val="40"/>
        </w:rPr>
      </w:pPr>
      <w:r w:rsidRPr="0081258F">
        <w:rPr>
          <w:sz w:val="40"/>
          <w:szCs w:val="40"/>
        </w:rPr>
        <w:t>Standard Operating Procedure for Managing Research Protocols</w:t>
      </w:r>
    </w:p>
    <w:p w14:paraId="540CFA01" w14:textId="31488616" w:rsidR="00E071C3" w:rsidRPr="00E071C3" w:rsidRDefault="00E071C3" w:rsidP="00E071C3">
      <w:pPr>
        <w:pStyle w:val="NoSpacing"/>
        <w:pBdr>
          <w:bottom w:val="single" w:sz="4" w:space="1" w:color="auto"/>
        </w:pBdr>
        <w:jc w:val="right"/>
        <w:rPr>
          <w:b/>
          <w:bCs/>
          <w:lang w:val="en-US"/>
        </w:rPr>
      </w:pPr>
      <w:r w:rsidRPr="00E071C3">
        <w:rPr>
          <w:b/>
          <w:bCs/>
          <w:lang w:val="en-US"/>
        </w:rPr>
        <w:t>[</w:t>
      </w:r>
      <w:r w:rsidR="0081258F">
        <w:rPr>
          <w:b/>
          <w:bCs/>
          <w:lang w:val="en-US"/>
        </w:rPr>
        <w:t>February 2024</w:t>
      </w:r>
      <w:r w:rsidR="00747EBD">
        <w:rPr>
          <w:b/>
          <w:bCs/>
          <w:lang w:val="en-US"/>
        </w:rPr>
        <w:t>, version 1</w:t>
      </w:r>
      <w:r w:rsidRPr="00E071C3">
        <w:rPr>
          <w:b/>
          <w:bCs/>
          <w:lang w:val="en-US"/>
        </w:rPr>
        <w:t>]</w:t>
      </w:r>
    </w:p>
    <w:p w14:paraId="32B6A8F1" w14:textId="77777777" w:rsidR="00E071C3" w:rsidRDefault="00E071C3" w:rsidP="00E071C3">
      <w:pPr>
        <w:pStyle w:val="NoSpacing"/>
        <w:rPr>
          <w:lang w:val="en-US"/>
        </w:rPr>
      </w:pPr>
    </w:p>
    <w:tbl>
      <w:tblPr>
        <w:tblStyle w:val="TableGrid1"/>
        <w:tblW w:w="10349" w:type="dxa"/>
        <w:tblInd w:w="-289" w:type="dxa"/>
        <w:tblLook w:val="04A0" w:firstRow="1" w:lastRow="0" w:firstColumn="1" w:lastColumn="0" w:noHBand="0" w:noVBand="1"/>
      </w:tblPr>
      <w:tblGrid>
        <w:gridCol w:w="2939"/>
        <w:gridCol w:w="7410"/>
      </w:tblGrid>
      <w:tr w:rsidR="00E071C3" w:rsidRPr="00B0011B" w14:paraId="25F7D39D" w14:textId="77777777" w:rsidTr="007A567C">
        <w:tc>
          <w:tcPr>
            <w:tcW w:w="2939" w:type="dxa"/>
          </w:tcPr>
          <w:p w14:paraId="2594525F" w14:textId="77777777"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Title</w:t>
            </w:r>
          </w:p>
        </w:tc>
        <w:tc>
          <w:tcPr>
            <w:tcW w:w="7410" w:type="dxa"/>
          </w:tcPr>
          <w:p w14:paraId="4628CAC5" w14:textId="4BD0B72E"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 xml:space="preserve">Institutional Biosafety Committee, Standard Operating Procedure for Managing Project Applications </w:t>
            </w:r>
          </w:p>
        </w:tc>
      </w:tr>
      <w:tr w:rsidR="00E071C3" w:rsidRPr="00B0011B" w14:paraId="0D4563E8" w14:textId="77777777" w:rsidTr="007A567C">
        <w:tc>
          <w:tcPr>
            <w:tcW w:w="2939" w:type="dxa"/>
          </w:tcPr>
          <w:p w14:paraId="2F7E0507" w14:textId="77777777"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Approval date</w:t>
            </w:r>
          </w:p>
        </w:tc>
        <w:tc>
          <w:tcPr>
            <w:tcW w:w="7410" w:type="dxa"/>
          </w:tcPr>
          <w:p w14:paraId="1093B2F7" w14:textId="20E0644C" w:rsidR="00E071C3" w:rsidRPr="00B0011B" w:rsidRDefault="009F031B" w:rsidP="007A567C">
            <w:pPr>
              <w:jc w:val="both"/>
              <w:rPr>
                <w:rFonts w:ascii="Calibri" w:eastAsia="Calibri" w:hAnsi="Calibri" w:cs="Times New Roman"/>
                <w:sz w:val="22"/>
              </w:rPr>
            </w:pPr>
            <w:r w:rsidRPr="00B0011B">
              <w:rPr>
                <w:rFonts w:ascii="Calibri" w:eastAsia="Calibri" w:hAnsi="Calibri" w:cs="Times New Roman"/>
                <w:sz w:val="22"/>
              </w:rPr>
              <w:t>28 February 2024 (at IBC quorate meeting)</w:t>
            </w:r>
          </w:p>
        </w:tc>
      </w:tr>
      <w:tr w:rsidR="00E071C3" w:rsidRPr="00B0011B" w14:paraId="07D34741" w14:textId="77777777" w:rsidTr="007A567C">
        <w:tc>
          <w:tcPr>
            <w:tcW w:w="2939" w:type="dxa"/>
          </w:tcPr>
          <w:p w14:paraId="3A167B45" w14:textId="5B59E300"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Person(s) responsible for drafting, review</w:t>
            </w:r>
            <w:r w:rsidR="00604D21" w:rsidRPr="00B0011B">
              <w:rPr>
                <w:rFonts w:ascii="Calibri" w:eastAsia="Calibri" w:hAnsi="Calibri" w:cs="Times New Roman"/>
                <w:sz w:val="22"/>
              </w:rPr>
              <w:t>,</w:t>
            </w:r>
            <w:r w:rsidRPr="00B0011B">
              <w:rPr>
                <w:rFonts w:ascii="Calibri" w:eastAsia="Calibri" w:hAnsi="Calibri" w:cs="Times New Roman"/>
                <w:sz w:val="22"/>
              </w:rPr>
              <w:t xml:space="preserve"> and revision</w:t>
            </w:r>
          </w:p>
        </w:tc>
        <w:tc>
          <w:tcPr>
            <w:tcW w:w="7410" w:type="dxa"/>
          </w:tcPr>
          <w:p w14:paraId="06124CAF" w14:textId="2FAED96B"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Senior Administrative Officer, Animal and Biosafety Compliance</w:t>
            </w:r>
          </w:p>
          <w:p w14:paraId="0B83E48E" w14:textId="211036C8"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Research Integrity Manager</w:t>
            </w:r>
          </w:p>
          <w:p w14:paraId="5DE3D0EF" w14:textId="08410328"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Chair, Institutional Biosafety Committee</w:t>
            </w:r>
            <w:r w:rsidR="00604D21" w:rsidRPr="00B0011B">
              <w:rPr>
                <w:rFonts w:ascii="Calibri" w:eastAsia="Calibri" w:hAnsi="Calibri" w:cs="Times New Roman"/>
                <w:sz w:val="22"/>
              </w:rPr>
              <w:t xml:space="preserve"> (IBC)</w:t>
            </w:r>
          </w:p>
        </w:tc>
      </w:tr>
      <w:tr w:rsidR="00E071C3" w:rsidRPr="00B0011B" w14:paraId="7F54D2FB" w14:textId="77777777" w:rsidTr="007A567C">
        <w:tc>
          <w:tcPr>
            <w:tcW w:w="2939" w:type="dxa"/>
          </w:tcPr>
          <w:p w14:paraId="4F6147B4" w14:textId="77777777"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Next review date</w:t>
            </w:r>
          </w:p>
        </w:tc>
        <w:tc>
          <w:tcPr>
            <w:tcW w:w="7410" w:type="dxa"/>
          </w:tcPr>
          <w:p w14:paraId="62089BFB" w14:textId="0FA835F7" w:rsidR="00E071C3" w:rsidRPr="00B0011B" w:rsidRDefault="00B0011B" w:rsidP="007A567C">
            <w:pPr>
              <w:jc w:val="both"/>
              <w:rPr>
                <w:rFonts w:ascii="Calibri" w:eastAsia="Calibri" w:hAnsi="Calibri" w:cs="Times New Roman"/>
                <w:sz w:val="22"/>
              </w:rPr>
            </w:pPr>
            <w:r w:rsidRPr="00B0011B">
              <w:rPr>
                <w:rFonts w:ascii="Calibri" w:eastAsia="Calibri" w:hAnsi="Calibri" w:cs="Times New Roman"/>
                <w:sz w:val="22"/>
              </w:rPr>
              <w:t xml:space="preserve">February 2026 </w:t>
            </w:r>
            <w:r w:rsidR="00E071C3" w:rsidRPr="00B0011B">
              <w:rPr>
                <w:rFonts w:ascii="Calibri" w:eastAsia="Calibri" w:hAnsi="Calibri" w:cs="Times New Roman"/>
                <w:sz w:val="22"/>
              </w:rPr>
              <w:t xml:space="preserve">[or </w:t>
            </w:r>
            <w:r w:rsidR="00FA2B05" w:rsidRPr="00B0011B">
              <w:rPr>
                <w:rFonts w:ascii="Calibri" w:eastAsia="Calibri" w:hAnsi="Calibri" w:cs="Times New Roman"/>
                <w:sz w:val="22"/>
              </w:rPr>
              <w:t>sooner</w:t>
            </w:r>
            <w:r w:rsidR="00E071C3" w:rsidRPr="00B0011B">
              <w:rPr>
                <w:rFonts w:ascii="Calibri" w:eastAsia="Calibri" w:hAnsi="Calibri" w:cs="Times New Roman"/>
                <w:sz w:val="22"/>
              </w:rPr>
              <w:t xml:space="preserve"> </w:t>
            </w:r>
            <w:r w:rsidR="00FA2B05" w:rsidRPr="00B0011B">
              <w:rPr>
                <w:rFonts w:ascii="Calibri" w:eastAsia="Calibri" w:hAnsi="Calibri" w:cs="Times New Roman"/>
                <w:sz w:val="22"/>
              </w:rPr>
              <w:t>if</w:t>
            </w:r>
            <w:r w:rsidR="00E071C3" w:rsidRPr="00B0011B">
              <w:rPr>
                <w:rFonts w:ascii="Calibri" w:eastAsia="Calibri" w:hAnsi="Calibri" w:cs="Times New Roman"/>
                <w:sz w:val="22"/>
              </w:rPr>
              <w:t xml:space="preserve"> needed</w:t>
            </w:r>
            <w:r w:rsidRPr="00B0011B">
              <w:rPr>
                <w:rFonts w:ascii="Calibri" w:eastAsia="Calibri" w:hAnsi="Calibri" w:cs="Times New Roman"/>
                <w:sz w:val="22"/>
              </w:rPr>
              <w:t xml:space="preserve"> to better align with processes</w:t>
            </w:r>
            <w:r w:rsidR="00E071C3" w:rsidRPr="00B0011B">
              <w:rPr>
                <w:rFonts w:ascii="Calibri" w:eastAsia="Calibri" w:hAnsi="Calibri" w:cs="Times New Roman"/>
                <w:sz w:val="22"/>
              </w:rPr>
              <w:t>]</w:t>
            </w:r>
          </w:p>
        </w:tc>
      </w:tr>
      <w:tr w:rsidR="00E071C3" w:rsidRPr="00B0011B" w14:paraId="4710DCBE" w14:textId="77777777" w:rsidTr="007A567C">
        <w:tc>
          <w:tcPr>
            <w:tcW w:w="2939" w:type="dxa"/>
          </w:tcPr>
          <w:p w14:paraId="742EEF7A" w14:textId="77777777"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Status</w:t>
            </w:r>
          </w:p>
        </w:tc>
        <w:tc>
          <w:tcPr>
            <w:tcW w:w="7410" w:type="dxa"/>
          </w:tcPr>
          <w:p w14:paraId="47A604BF" w14:textId="24A59DAA"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Standard Operating Procedure</w:t>
            </w:r>
          </w:p>
        </w:tc>
      </w:tr>
      <w:tr w:rsidR="00E071C3" w:rsidRPr="00B0011B" w14:paraId="5C104133" w14:textId="77777777" w:rsidTr="007A567C">
        <w:tc>
          <w:tcPr>
            <w:tcW w:w="2939" w:type="dxa"/>
          </w:tcPr>
          <w:p w14:paraId="6CF13831" w14:textId="77777777"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Approval route</w:t>
            </w:r>
          </w:p>
        </w:tc>
        <w:tc>
          <w:tcPr>
            <w:tcW w:w="7410" w:type="dxa"/>
          </w:tcPr>
          <w:p w14:paraId="7D05A177" w14:textId="14DE4AE4"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Office of Research Integrity (ORI) &gt; Institutional Biosafety Committee (IBC)</w:t>
            </w:r>
          </w:p>
        </w:tc>
      </w:tr>
      <w:tr w:rsidR="00E071C3" w:rsidRPr="00B0011B" w14:paraId="0018EB07" w14:textId="77777777" w:rsidTr="007A567C">
        <w:tc>
          <w:tcPr>
            <w:tcW w:w="2939" w:type="dxa"/>
          </w:tcPr>
          <w:p w14:paraId="76A21BD0" w14:textId="77777777"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Approving body</w:t>
            </w:r>
          </w:p>
        </w:tc>
        <w:tc>
          <w:tcPr>
            <w:tcW w:w="7410" w:type="dxa"/>
          </w:tcPr>
          <w:p w14:paraId="4411F60B" w14:textId="13D76443"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IBC</w:t>
            </w:r>
          </w:p>
        </w:tc>
      </w:tr>
      <w:tr w:rsidR="00E071C3" w:rsidRPr="00C701E1" w14:paraId="3AD270E7" w14:textId="77777777" w:rsidTr="007A567C">
        <w:tc>
          <w:tcPr>
            <w:tcW w:w="2939" w:type="dxa"/>
          </w:tcPr>
          <w:p w14:paraId="56FD15A7" w14:textId="0DA3900E" w:rsidR="00E071C3" w:rsidRPr="00B0011B" w:rsidRDefault="00E071C3" w:rsidP="007A567C">
            <w:pPr>
              <w:jc w:val="both"/>
              <w:rPr>
                <w:rFonts w:ascii="Calibri" w:eastAsia="Calibri" w:hAnsi="Calibri" w:cs="Times New Roman"/>
                <w:sz w:val="22"/>
              </w:rPr>
            </w:pPr>
            <w:r w:rsidRPr="00B0011B">
              <w:rPr>
                <w:rFonts w:ascii="Calibri" w:eastAsia="Calibri" w:hAnsi="Calibri" w:cs="Times New Roman"/>
                <w:sz w:val="22"/>
              </w:rPr>
              <w:t>Relevant related policies, procedures</w:t>
            </w:r>
            <w:r w:rsidR="00604D21" w:rsidRPr="00B0011B">
              <w:rPr>
                <w:rFonts w:ascii="Calibri" w:eastAsia="Calibri" w:hAnsi="Calibri" w:cs="Times New Roman"/>
                <w:sz w:val="22"/>
              </w:rPr>
              <w:t>,</w:t>
            </w:r>
            <w:r w:rsidRPr="00B0011B">
              <w:rPr>
                <w:rFonts w:ascii="Calibri" w:eastAsia="Calibri" w:hAnsi="Calibri" w:cs="Times New Roman"/>
                <w:sz w:val="22"/>
              </w:rPr>
              <w:t xml:space="preserve"> and guidelines</w:t>
            </w:r>
          </w:p>
        </w:tc>
        <w:tc>
          <w:tcPr>
            <w:tcW w:w="7410" w:type="dxa"/>
          </w:tcPr>
          <w:p w14:paraId="463484A8" w14:textId="77777777" w:rsidR="00E071C3" w:rsidRPr="00B0011B" w:rsidRDefault="00E071C3" w:rsidP="007A567C">
            <w:pPr>
              <w:pStyle w:val="NoSpacing"/>
              <w:numPr>
                <w:ilvl w:val="0"/>
                <w:numId w:val="1"/>
              </w:numPr>
              <w:rPr>
                <w:rFonts w:asciiTheme="minorHAnsi" w:hAnsiTheme="minorHAnsi" w:cstheme="minorHAnsi"/>
                <w:sz w:val="22"/>
                <w:szCs w:val="22"/>
              </w:rPr>
            </w:pPr>
            <w:r w:rsidRPr="00B0011B">
              <w:rPr>
                <w:rFonts w:asciiTheme="minorHAnsi" w:hAnsiTheme="minorHAnsi" w:cstheme="minorHAnsi"/>
                <w:sz w:val="22"/>
                <w:szCs w:val="22"/>
              </w:rPr>
              <w:t>UCT Policy for Responsible Conduct of Research</w:t>
            </w:r>
          </w:p>
          <w:p w14:paraId="7F9F7289" w14:textId="77777777" w:rsidR="00E071C3" w:rsidRPr="00B0011B" w:rsidRDefault="00E071C3" w:rsidP="007A567C">
            <w:pPr>
              <w:pStyle w:val="NoSpacing"/>
              <w:numPr>
                <w:ilvl w:val="0"/>
                <w:numId w:val="1"/>
              </w:numPr>
              <w:rPr>
                <w:rFonts w:asciiTheme="minorHAnsi" w:hAnsiTheme="minorHAnsi" w:cstheme="minorHAnsi"/>
                <w:sz w:val="22"/>
                <w:szCs w:val="22"/>
              </w:rPr>
            </w:pPr>
            <w:r w:rsidRPr="00B0011B">
              <w:rPr>
                <w:rFonts w:asciiTheme="minorHAnsi" w:hAnsiTheme="minorHAnsi" w:cstheme="minorHAnsi"/>
                <w:sz w:val="22"/>
                <w:szCs w:val="22"/>
              </w:rPr>
              <w:t>IBC Terms of Reference</w:t>
            </w:r>
          </w:p>
          <w:p w14:paraId="0A8F6997" w14:textId="6D1460D8" w:rsidR="00E071C3" w:rsidRPr="00B0011B" w:rsidRDefault="00E071C3" w:rsidP="007A567C">
            <w:pPr>
              <w:pStyle w:val="NoSpacing"/>
              <w:numPr>
                <w:ilvl w:val="0"/>
                <w:numId w:val="1"/>
              </w:numPr>
            </w:pPr>
            <w:r w:rsidRPr="00B0011B">
              <w:rPr>
                <w:rFonts w:asciiTheme="minorHAnsi" w:hAnsiTheme="minorHAnsi" w:cstheme="minorHAnsi"/>
                <w:sz w:val="22"/>
                <w:szCs w:val="22"/>
              </w:rPr>
              <w:t>IBC Policy</w:t>
            </w:r>
            <w:r w:rsidRPr="00B0011B">
              <w:t xml:space="preserve"> </w:t>
            </w:r>
            <w:r w:rsidRPr="00B0011B">
              <w:rPr>
                <w:rFonts w:asciiTheme="minorHAnsi" w:hAnsiTheme="minorHAnsi" w:cstheme="minorHAnsi"/>
                <w:sz w:val="22"/>
                <w:szCs w:val="22"/>
              </w:rPr>
              <w:t>on Review of Research Protocols Submitted to the IBC</w:t>
            </w:r>
          </w:p>
        </w:tc>
      </w:tr>
    </w:tbl>
    <w:sdt>
      <w:sdtPr>
        <w:rPr>
          <w:rFonts w:ascii="Segoe UI" w:eastAsiaTheme="minorHAnsi" w:hAnsi="Segoe UI" w:cstheme="minorBidi"/>
          <w:color w:val="auto"/>
          <w:sz w:val="20"/>
          <w:szCs w:val="22"/>
          <w:lang w:val="en-ZA"/>
        </w:rPr>
        <w:id w:val="1728640562"/>
        <w:docPartObj>
          <w:docPartGallery w:val="Table of Contents"/>
          <w:docPartUnique/>
        </w:docPartObj>
      </w:sdtPr>
      <w:sdtEndPr>
        <w:rPr>
          <w:b/>
          <w:bCs/>
          <w:noProof/>
        </w:rPr>
      </w:sdtEndPr>
      <w:sdtContent>
        <w:p w14:paraId="4DDB8978" w14:textId="208BF00A" w:rsidR="00FA2B05" w:rsidRDefault="00FA2B05" w:rsidP="00C772AB">
          <w:pPr>
            <w:pStyle w:val="TOCHeading"/>
          </w:pPr>
          <w:r>
            <w:t>Table of Contents</w:t>
          </w:r>
        </w:p>
        <w:p w14:paraId="730EED53" w14:textId="111008C0" w:rsidR="00356B70" w:rsidRDefault="00FA2B05">
          <w:pPr>
            <w:pStyle w:val="TOC1"/>
            <w:tabs>
              <w:tab w:val="left" w:pos="440"/>
              <w:tab w:val="right" w:leader="dot" w:pos="9736"/>
            </w:tabs>
            <w:rPr>
              <w:rFonts w:asciiTheme="minorHAnsi" w:eastAsiaTheme="minorEastAsia" w:hAnsiTheme="minorHAnsi"/>
              <w:noProof/>
              <w:kern w:val="2"/>
              <w:sz w:val="22"/>
              <w:lang w:eastAsia="en-ZA"/>
              <w14:ligatures w14:val="standardContextual"/>
            </w:rPr>
          </w:pPr>
          <w:r>
            <w:fldChar w:fldCharType="begin"/>
          </w:r>
          <w:r>
            <w:instrText xml:space="preserve"> TOC \o "1-3" \h \z \u </w:instrText>
          </w:r>
          <w:r>
            <w:fldChar w:fldCharType="separate"/>
          </w:r>
          <w:hyperlink w:anchor="_Toc159227224" w:history="1">
            <w:r w:rsidR="00356B70" w:rsidRPr="00896E70">
              <w:rPr>
                <w:rStyle w:val="Hyperlink"/>
                <w:noProof/>
                <w:lang w:val="en-US"/>
              </w:rPr>
              <w:t>1.</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Abbreviations and definitions</w:t>
            </w:r>
            <w:r w:rsidR="00356B70">
              <w:rPr>
                <w:noProof/>
                <w:webHidden/>
              </w:rPr>
              <w:tab/>
            </w:r>
            <w:r w:rsidR="00356B70">
              <w:rPr>
                <w:noProof/>
                <w:webHidden/>
              </w:rPr>
              <w:fldChar w:fldCharType="begin"/>
            </w:r>
            <w:r w:rsidR="00356B70">
              <w:rPr>
                <w:noProof/>
                <w:webHidden/>
              </w:rPr>
              <w:instrText xml:space="preserve"> PAGEREF _Toc159227224 \h </w:instrText>
            </w:r>
            <w:r w:rsidR="00356B70">
              <w:rPr>
                <w:noProof/>
                <w:webHidden/>
              </w:rPr>
            </w:r>
            <w:r w:rsidR="00356B70">
              <w:rPr>
                <w:noProof/>
                <w:webHidden/>
              </w:rPr>
              <w:fldChar w:fldCharType="separate"/>
            </w:r>
            <w:r w:rsidR="00356B70">
              <w:rPr>
                <w:noProof/>
                <w:webHidden/>
              </w:rPr>
              <w:t>2</w:t>
            </w:r>
            <w:r w:rsidR="00356B70">
              <w:rPr>
                <w:noProof/>
                <w:webHidden/>
              </w:rPr>
              <w:fldChar w:fldCharType="end"/>
            </w:r>
          </w:hyperlink>
        </w:p>
        <w:p w14:paraId="1EB376DA" w14:textId="1A4FB8E0" w:rsidR="00356B70" w:rsidRDefault="00747EBD">
          <w:pPr>
            <w:pStyle w:val="TOC2"/>
            <w:tabs>
              <w:tab w:val="left" w:pos="660"/>
              <w:tab w:val="right" w:leader="dot" w:pos="9736"/>
            </w:tabs>
            <w:rPr>
              <w:rFonts w:asciiTheme="minorHAnsi" w:eastAsiaTheme="minorEastAsia" w:hAnsiTheme="minorHAnsi"/>
              <w:noProof/>
              <w:kern w:val="2"/>
              <w:sz w:val="22"/>
              <w:lang w:eastAsia="en-ZA"/>
              <w14:ligatures w14:val="standardContextual"/>
            </w:rPr>
          </w:pPr>
          <w:hyperlink w:anchor="_Toc159227225" w:history="1">
            <w:r w:rsidR="00356B70" w:rsidRPr="00896E70">
              <w:rPr>
                <w:rStyle w:val="Hyperlink"/>
                <w:noProof/>
              </w:rPr>
              <w:t>a.</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rPr>
              <w:t>Abbreviations</w:t>
            </w:r>
            <w:r w:rsidR="00356B70">
              <w:rPr>
                <w:noProof/>
                <w:webHidden/>
              </w:rPr>
              <w:tab/>
            </w:r>
            <w:r w:rsidR="00356B70">
              <w:rPr>
                <w:noProof/>
                <w:webHidden/>
              </w:rPr>
              <w:fldChar w:fldCharType="begin"/>
            </w:r>
            <w:r w:rsidR="00356B70">
              <w:rPr>
                <w:noProof/>
                <w:webHidden/>
              </w:rPr>
              <w:instrText xml:space="preserve"> PAGEREF _Toc159227225 \h </w:instrText>
            </w:r>
            <w:r w:rsidR="00356B70">
              <w:rPr>
                <w:noProof/>
                <w:webHidden/>
              </w:rPr>
            </w:r>
            <w:r w:rsidR="00356B70">
              <w:rPr>
                <w:noProof/>
                <w:webHidden/>
              </w:rPr>
              <w:fldChar w:fldCharType="separate"/>
            </w:r>
            <w:r w:rsidR="00356B70">
              <w:rPr>
                <w:noProof/>
                <w:webHidden/>
              </w:rPr>
              <w:t>2</w:t>
            </w:r>
            <w:r w:rsidR="00356B70">
              <w:rPr>
                <w:noProof/>
                <w:webHidden/>
              </w:rPr>
              <w:fldChar w:fldCharType="end"/>
            </w:r>
          </w:hyperlink>
        </w:p>
        <w:p w14:paraId="65E339AC" w14:textId="0D655243" w:rsidR="00356B70" w:rsidRDefault="00747EBD">
          <w:pPr>
            <w:pStyle w:val="TOC2"/>
            <w:tabs>
              <w:tab w:val="left" w:pos="660"/>
              <w:tab w:val="right" w:leader="dot" w:pos="9736"/>
            </w:tabs>
            <w:rPr>
              <w:rFonts w:asciiTheme="minorHAnsi" w:eastAsiaTheme="minorEastAsia" w:hAnsiTheme="minorHAnsi"/>
              <w:noProof/>
              <w:kern w:val="2"/>
              <w:sz w:val="22"/>
              <w:lang w:eastAsia="en-ZA"/>
              <w14:ligatures w14:val="standardContextual"/>
            </w:rPr>
          </w:pPr>
          <w:hyperlink w:anchor="_Toc159227226" w:history="1">
            <w:r w:rsidR="00356B70" w:rsidRPr="00896E70">
              <w:rPr>
                <w:rStyle w:val="Hyperlink"/>
                <w:noProof/>
              </w:rPr>
              <w:t>b.</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rPr>
              <w:t>Definitions</w:t>
            </w:r>
            <w:r w:rsidR="00356B70">
              <w:rPr>
                <w:noProof/>
                <w:webHidden/>
              </w:rPr>
              <w:tab/>
            </w:r>
            <w:r w:rsidR="00356B70">
              <w:rPr>
                <w:noProof/>
                <w:webHidden/>
              </w:rPr>
              <w:fldChar w:fldCharType="begin"/>
            </w:r>
            <w:r w:rsidR="00356B70">
              <w:rPr>
                <w:noProof/>
                <w:webHidden/>
              </w:rPr>
              <w:instrText xml:space="preserve"> PAGEREF _Toc159227226 \h </w:instrText>
            </w:r>
            <w:r w:rsidR="00356B70">
              <w:rPr>
                <w:noProof/>
                <w:webHidden/>
              </w:rPr>
            </w:r>
            <w:r w:rsidR="00356B70">
              <w:rPr>
                <w:noProof/>
                <w:webHidden/>
              </w:rPr>
              <w:fldChar w:fldCharType="separate"/>
            </w:r>
            <w:r w:rsidR="00356B70">
              <w:rPr>
                <w:noProof/>
                <w:webHidden/>
              </w:rPr>
              <w:t>2</w:t>
            </w:r>
            <w:r w:rsidR="00356B70">
              <w:rPr>
                <w:noProof/>
                <w:webHidden/>
              </w:rPr>
              <w:fldChar w:fldCharType="end"/>
            </w:r>
          </w:hyperlink>
        </w:p>
        <w:p w14:paraId="59286954" w14:textId="066A3D05" w:rsidR="00356B70" w:rsidRDefault="00747EBD">
          <w:pPr>
            <w:pStyle w:val="TOC1"/>
            <w:tabs>
              <w:tab w:val="left" w:pos="440"/>
              <w:tab w:val="right" w:leader="dot" w:pos="9736"/>
            </w:tabs>
            <w:rPr>
              <w:rFonts w:asciiTheme="minorHAnsi" w:eastAsiaTheme="minorEastAsia" w:hAnsiTheme="minorHAnsi"/>
              <w:noProof/>
              <w:kern w:val="2"/>
              <w:sz w:val="22"/>
              <w:lang w:eastAsia="en-ZA"/>
              <w14:ligatures w14:val="standardContextual"/>
            </w:rPr>
          </w:pPr>
          <w:hyperlink w:anchor="_Toc159227227" w:history="1">
            <w:r w:rsidR="00356B70" w:rsidRPr="00896E70">
              <w:rPr>
                <w:rStyle w:val="Hyperlink"/>
                <w:noProof/>
                <w:lang w:val="en-US"/>
              </w:rPr>
              <w:t>2.</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Preamble and purpose</w:t>
            </w:r>
            <w:r w:rsidR="00356B70">
              <w:rPr>
                <w:noProof/>
                <w:webHidden/>
              </w:rPr>
              <w:tab/>
            </w:r>
            <w:r w:rsidR="00356B70">
              <w:rPr>
                <w:noProof/>
                <w:webHidden/>
              </w:rPr>
              <w:fldChar w:fldCharType="begin"/>
            </w:r>
            <w:r w:rsidR="00356B70">
              <w:rPr>
                <w:noProof/>
                <w:webHidden/>
              </w:rPr>
              <w:instrText xml:space="preserve"> PAGEREF _Toc159227227 \h </w:instrText>
            </w:r>
            <w:r w:rsidR="00356B70">
              <w:rPr>
                <w:noProof/>
                <w:webHidden/>
              </w:rPr>
            </w:r>
            <w:r w:rsidR="00356B70">
              <w:rPr>
                <w:noProof/>
                <w:webHidden/>
              </w:rPr>
              <w:fldChar w:fldCharType="separate"/>
            </w:r>
            <w:r w:rsidR="00356B70">
              <w:rPr>
                <w:noProof/>
                <w:webHidden/>
              </w:rPr>
              <w:t>3</w:t>
            </w:r>
            <w:r w:rsidR="00356B70">
              <w:rPr>
                <w:noProof/>
                <w:webHidden/>
              </w:rPr>
              <w:fldChar w:fldCharType="end"/>
            </w:r>
          </w:hyperlink>
        </w:p>
        <w:p w14:paraId="7E5DA04A" w14:textId="09EA0A5E" w:rsidR="00356B70" w:rsidRDefault="00747EBD">
          <w:pPr>
            <w:pStyle w:val="TOC1"/>
            <w:tabs>
              <w:tab w:val="left" w:pos="440"/>
              <w:tab w:val="right" w:leader="dot" w:pos="9736"/>
            </w:tabs>
            <w:rPr>
              <w:rFonts w:asciiTheme="minorHAnsi" w:eastAsiaTheme="minorEastAsia" w:hAnsiTheme="minorHAnsi"/>
              <w:noProof/>
              <w:kern w:val="2"/>
              <w:sz w:val="22"/>
              <w:lang w:eastAsia="en-ZA"/>
              <w14:ligatures w14:val="standardContextual"/>
            </w:rPr>
          </w:pPr>
          <w:hyperlink w:anchor="_Toc159227228" w:history="1">
            <w:r w:rsidR="00356B70" w:rsidRPr="00896E70">
              <w:rPr>
                <w:rStyle w:val="Hyperlink"/>
                <w:noProof/>
                <w:lang w:val="en-US"/>
              </w:rPr>
              <w:t>3.</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IBC servicing and administration</w:t>
            </w:r>
            <w:r w:rsidR="00356B70">
              <w:rPr>
                <w:noProof/>
                <w:webHidden/>
              </w:rPr>
              <w:tab/>
            </w:r>
            <w:r w:rsidR="00356B70">
              <w:rPr>
                <w:noProof/>
                <w:webHidden/>
              </w:rPr>
              <w:fldChar w:fldCharType="begin"/>
            </w:r>
            <w:r w:rsidR="00356B70">
              <w:rPr>
                <w:noProof/>
                <w:webHidden/>
              </w:rPr>
              <w:instrText xml:space="preserve"> PAGEREF _Toc159227228 \h </w:instrText>
            </w:r>
            <w:r w:rsidR="00356B70">
              <w:rPr>
                <w:noProof/>
                <w:webHidden/>
              </w:rPr>
            </w:r>
            <w:r w:rsidR="00356B70">
              <w:rPr>
                <w:noProof/>
                <w:webHidden/>
              </w:rPr>
              <w:fldChar w:fldCharType="separate"/>
            </w:r>
            <w:r w:rsidR="00356B70">
              <w:rPr>
                <w:noProof/>
                <w:webHidden/>
              </w:rPr>
              <w:t>3</w:t>
            </w:r>
            <w:r w:rsidR="00356B70">
              <w:rPr>
                <w:noProof/>
                <w:webHidden/>
              </w:rPr>
              <w:fldChar w:fldCharType="end"/>
            </w:r>
          </w:hyperlink>
        </w:p>
        <w:p w14:paraId="68DB42D9" w14:textId="4C14A6A7" w:rsidR="00356B70" w:rsidRDefault="00747EBD">
          <w:pPr>
            <w:pStyle w:val="TOC1"/>
            <w:tabs>
              <w:tab w:val="left" w:pos="440"/>
              <w:tab w:val="right" w:leader="dot" w:pos="9736"/>
            </w:tabs>
            <w:rPr>
              <w:rFonts w:asciiTheme="minorHAnsi" w:eastAsiaTheme="minorEastAsia" w:hAnsiTheme="minorHAnsi"/>
              <w:noProof/>
              <w:kern w:val="2"/>
              <w:sz w:val="22"/>
              <w:lang w:eastAsia="en-ZA"/>
              <w14:ligatures w14:val="standardContextual"/>
            </w:rPr>
          </w:pPr>
          <w:hyperlink w:anchor="_Toc159227229" w:history="1">
            <w:r w:rsidR="00356B70" w:rsidRPr="00896E70">
              <w:rPr>
                <w:rStyle w:val="Hyperlink"/>
                <w:noProof/>
                <w:lang w:val="en-US"/>
              </w:rPr>
              <w:t>4.</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Submission procedures</w:t>
            </w:r>
            <w:r w:rsidR="00356B70">
              <w:rPr>
                <w:noProof/>
                <w:webHidden/>
              </w:rPr>
              <w:tab/>
            </w:r>
            <w:r w:rsidR="00356B70">
              <w:rPr>
                <w:noProof/>
                <w:webHidden/>
              </w:rPr>
              <w:fldChar w:fldCharType="begin"/>
            </w:r>
            <w:r w:rsidR="00356B70">
              <w:rPr>
                <w:noProof/>
                <w:webHidden/>
              </w:rPr>
              <w:instrText xml:space="preserve"> PAGEREF _Toc159227229 \h </w:instrText>
            </w:r>
            <w:r w:rsidR="00356B70">
              <w:rPr>
                <w:noProof/>
                <w:webHidden/>
              </w:rPr>
            </w:r>
            <w:r w:rsidR="00356B70">
              <w:rPr>
                <w:noProof/>
                <w:webHidden/>
              </w:rPr>
              <w:fldChar w:fldCharType="separate"/>
            </w:r>
            <w:r w:rsidR="00356B70">
              <w:rPr>
                <w:noProof/>
                <w:webHidden/>
              </w:rPr>
              <w:t>3</w:t>
            </w:r>
            <w:r w:rsidR="00356B70">
              <w:rPr>
                <w:noProof/>
                <w:webHidden/>
              </w:rPr>
              <w:fldChar w:fldCharType="end"/>
            </w:r>
          </w:hyperlink>
        </w:p>
        <w:p w14:paraId="3EA0645C" w14:textId="2C64DC71" w:rsidR="00356B70" w:rsidRDefault="00747EBD">
          <w:pPr>
            <w:pStyle w:val="TOC2"/>
            <w:tabs>
              <w:tab w:val="left" w:pos="660"/>
              <w:tab w:val="right" w:leader="dot" w:pos="9736"/>
            </w:tabs>
            <w:rPr>
              <w:rFonts w:asciiTheme="minorHAnsi" w:eastAsiaTheme="minorEastAsia" w:hAnsiTheme="minorHAnsi"/>
              <w:noProof/>
              <w:kern w:val="2"/>
              <w:sz w:val="22"/>
              <w:lang w:eastAsia="en-ZA"/>
              <w14:ligatures w14:val="standardContextual"/>
            </w:rPr>
          </w:pPr>
          <w:hyperlink w:anchor="_Toc159227230" w:history="1">
            <w:r w:rsidR="00356B70" w:rsidRPr="00896E70">
              <w:rPr>
                <w:rStyle w:val="Hyperlink"/>
                <w:noProof/>
              </w:rPr>
              <w:t>a.</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rPr>
              <w:t>Submission of complete applications</w:t>
            </w:r>
            <w:r w:rsidR="00356B70">
              <w:rPr>
                <w:noProof/>
                <w:webHidden/>
              </w:rPr>
              <w:tab/>
            </w:r>
            <w:r w:rsidR="00356B70">
              <w:rPr>
                <w:noProof/>
                <w:webHidden/>
              </w:rPr>
              <w:fldChar w:fldCharType="begin"/>
            </w:r>
            <w:r w:rsidR="00356B70">
              <w:rPr>
                <w:noProof/>
                <w:webHidden/>
              </w:rPr>
              <w:instrText xml:space="preserve"> PAGEREF _Toc159227230 \h </w:instrText>
            </w:r>
            <w:r w:rsidR="00356B70">
              <w:rPr>
                <w:noProof/>
                <w:webHidden/>
              </w:rPr>
            </w:r>
            <w:r w:rsidR="00356B70">
              <w:rPr>
                <w:noProof/>
                <w:webHidden/>
              </w:rPr>
              <w:fldChar w:fldCharType="separate"/>
            </w:r>
            <w:r w:rsidR="00356B70">
              <w:rPr>
                <w:noProof/>
                <w:webHidden/>
              </w:rPr>
              <w:t>4</w:t>
            </w:r>
            <w:r w:rsidR="00356B70">
              <w:rPr>
                <w:noProof/>
                <w:webHidden/>
              </w:rPr>
              <w:fldChar w:fldCharType="end"/>
            </w:r>
          </w:hyperlink>
        </w:p>
        <w:p w14:paraId="2A36FBFC" w14:textId="1DA2AA54" w:rsidR="00356B70" w:rsidRDefault="00747EBD">
          <w:pPr>
            <w:pStyle w:val="TOC1"/>
            <w:tabs>
              <w:tab w:val="left" w:pos="440"/>
              <w:tab w:val="right" w:leader="dot" w:pos="9736"/>
            </w:tabs>
            <w:rPr>
              <w:rFonts w:asciiTheme="minorHAnsi" w:eastAsiaTheme="minorEastAsia" w:hAnsiTheme="minorHAnsi"/>
              <w:noProof/>
              <w:kern w:val="2"/>
              <w:sz w:val="22"/>
              <w:lang w:eastAsia="en-ZA"/>
              <w14:ligatures w14:val="standardContextual"/>
            </w:rPr>
          </w:pPr>
          <w:hyperlink w:anchor="_Toc159227231" w:history="1">
            <w:r w:rsidR="00356B70" w:rsidRPr="00896E70">
              <w:rPr>
                <w:rStyle w:val="Hyperlink"/>
                <w:noProof/>
                <w:lang w:val="en-US"/>
              </w:rPr>
              <w:t>5.</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Timelines</w:t>
            </w:r>
            <w:r w:rsidR="00356B70">
              <w:rPr>
                <w:noProof/>
                <w:webHidden/>
              </w:rPr>
              <w:tab/>
            </w:r>
            <w:r w:rsidR="00356B70">
              <w:rPr>
                <w:noProof/>
                <w:webHidden/>
              </w:rPr>
              <w:fldChar w:fldCharType="begin"/>
            </w:r>
            <w:r w:rsidR="00356B70">
              <w:rPr>
                <w:noProof/>
                <w:webHidden/>
              </w:rPr>
              <w:instrText xml:space="preserve"> PAGEREF _Toc159227231 \h </w:instrText>
            </w:r>
            <w:r w:rsidR="00356B70">
              <w:rPr>
                <w:noProof/>
                <w:webHidden/>
              </w:rPr>
            </w:r>
            <w:r w:rsidR="00356B70">
              <w:rPr>
                <w:noProof/>
                <w:webHidden/>
              </w:rPr>
              <w:fldChar w:fldCharType="separate"/>
            </w:r>
            <w:r w:rsidR="00356B70">
              <w:rPr>
                <w:noProof/>
                <w:webHidden/>
              </w:rPr>
              <w:t>5</w:t>
            </w:r>
            <w:r w:rsidR="00356B70">
              <w:rPr>
                <w:noProof/>
                <w:webHidden/>
              </w:rPr>
              <w:fldChar w:fldCharType="end"/>
            </w:r>
          </w:hyperlink>
        </w:p>
        <w:p w14:paraId="1A6DAEDE" w14:textId="12121488" w:rsidR="00356B70" w:rsidRDefault="00747EBD">
          <w:pPr>
            <w:pStyle w:val="TOC1"/>
            <w:tabs>
              <w:tab w:val="left" w:pos="440"/>
              <w:tab w:val="right" w:leader="dot" w:pos="9736"/>
            </w:tabs>
            <w:rPr>
              <w:rFonts w:asciiTheme="minorHAnsi" w:eastAsiaTheme="minorEastAsia" w:hAnsiTheme="minorHAnsi"/>
              <w:noProof/>
              <w:kern w:val="2"/>
              <w:sz w:val="22"/>
              <w:lang w:eastAsia="en-ZA"/>
              <w14:ligatures w14:val="standardContextual"/>
            </w:rPr>
          </w:pPr>
          <w:hyperlink w:anchor="_Toc159227232" w:history="1">
            <w:r w:rsidR="00356B70" w:rsidRPr="00896E70">
              <w:rPr>
                <w:rStyle w:val="Hyperlink"/>
                <w:noProof/>
                <w:lang w:val="en-US"/>
              </w:rPr>
              <w:t>6.</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Meetings</w:t>
            </w:r>
            <w:r w:rsidR="00356B70">
              <w:rPr>
                <w:noProof/>
                <w:webHidden/>
              </w:rPr>
              <w:tab/>
            </w:r>
            <w:r w:rsidR="00356B70">
              <w:rPr>
                <w:noProof/>
                <w:webHidden/>
              </w:rPr>
              <w:fldChar w:fldCharType="begin"/>
            </w:r>
            <w:r w:rsidR="00356B70">
              <w:rPr>
                <w:noProof/>
                <w:webHidden/>
              </w:rPr>
              <w:instrText xml:space="preserve"> PAGEREF _Toc159227232 \h </w:instrText>
            </w:r>
            <w:r w:rsidR="00356B70">
              <w:rPr>
                <w:noProof/>
                <w:webHidden/>
              </w:rPr>
            </w:r>
            <w:r w:rsidR="00356B70">
              <w:rPr>
                <w:noProof/>
                <w:webHidden/>
              </w:rPr>
              <w:fldChar w:fldCharType="separate"/>
            </w:r>
            <w:r w:rsidR="00356B70">
              <w:rPr>
                <w:noProof/>
                <w:webHidden/>
              </w:rPr>
              <w:t>5</w:t>
            </w:r>
            <w:r w:rsidR="00356B70">
              <w:rPr>
                <w:noProof/>
                <w:webHidden/>
              </w:rPr>
              <w:fldChar w:fldCharType="end"/>
            </w:r>
          </w:hyperlink>
        </w:p>
        <w:p w14:paraId="7CDA3696" w14:textId="6BA83F60" w:rsidR="00356B70" w:rsidRDefault="00747EBD">
          <w:pPr>
            <w:pStyle w:val="TOC1"/>
            <w:tabs>
              <w:tab w:val="left" w:pos="440"/>
              <w:tab w:val="right" w:leader="dot" w:pos="9736"/>
            </w:tabs>
            <w:rPr>
              <w:rFonts w:asciiTheme="minorHAnsi" w:eastAsiaTheme="minorEastAsia" w:hAnsiTheme="minorHAnsi"/>
              <w:noProof/>
              <w:kern w:val="2"/>
              <w:sz w:val="22"/>
              <w:lang w:eastAsia="en-ZA"/>
              <w14:ligatures w14:val="standardContextual"/>
            </w:rPr>
          </w:pPr>
          <w:hyperlink w:anchor="_Toc159227233" w:history="1">
            <w:r w:rsidR="00356B70" w:rsidRPr="00896E70">
              <w:rPr>
                <w:rStyle w:val="Hyperlink"/>
                <w:noProof/>
                <w:lang w:val="en-US"/>
              </w:rPr>
              <w:t>7.</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Review procedures and delegation of authority</w:t>
            </w:r>
            <w:r w:rsidR="00356B70">
              <w:rPr>
                <w:noProof/>
                <w:webHidden/>
              </w:rPr>
              <w:tab/>
            </w:r>
            <w:r w:rsidR="00356B70">
              <w:rPr>
                <w:noProof/>
                <w:webHidden/>
              </w:rPr>
              <w:fldChar w:fldCharType="begin"/>
            </w:r>
            <w:r w:rsidR="00356B70">
              <w:rPr>
                <w:noProof/>
                <w:webHidden/>
              </w:rPr>
              <w:instrText xml:space="preserve"> PAGEREF _Toc159227233 \h </w:instrText>
            </w:r>
            <w:r w:rsidR="00356B70">
              <w:rPr>
                <w:noProof/>
                <w:webHidden/>
              </w:rPr>
            </w:r>
            <w:r w:rsidR="00356B70">
              <w:rPr>
                <w:noProof/>
                <w:webHidden/>
              </w:rPr>
              <w:fldChar w:fldCharType="separate"/>
            </w:r>
            <w:r w:rsidR="00356B70">
              <w:rPr>
                <w:noProof/>
                <w:webHidden/>
              </w:rPr>
              <w:t>5</w:t>
            </w:r>
            <w:r w:rsidR="00356B70">
              <w:rPr>
                <w:noProof/>
                <w:webHidden/>
              </w:rPr>
              <w:fldChar w:fldCharType="end"/>
            </w:r>
          </w:hyperlink>
        </w:p>
        <w:p w14:paraId="5A6D24AF" w14:textId="3B010CA0" w:rsidR="00356B70" w:rsidRDefault="00747EBD">
          <w:pPr>
            <w:pStyle w:val="TOC1"/>
            <w:tabs>
              <w:tab w:val="left" w:pos="440"/>
              <w:tab w:val="right" w:leader="dot" w:pos="9736"/>
            </w:tabs>
            <w:rPr>
              <w:rFonts w:asciiTheme="minorHAnsi" w:eastAsiaTheme="minorEastAsia" w:hAnsiTheme="minorHAnsi"/>
              <w:noProof/>
              <w:kern w:val="2"/>
              <w:sz w:val="22"/>
              <w:lang w:eastAsia="en-ZA"/>
              <w14:ligatures w14:val="standardContextual"/>
            </w:rPr>
          </w:pPr>
          <w:hyperlink w:anchor="_Toc159227234" w:history="1">
            <w:r w:rsidR="00356B70" w:rsidRPr="00896E70">
              <w:rPr>
                <w:rStyle w:val="Hyperlink"/>
                <w:noProof/>
                <w:lang w:val="en-US"/>
              </w:rPr>
              <w:t>8.</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Types and communication of outcomes</w:t>
            </w:r>
            <w:r w:rsidR="00356B70">
              <w:rPr>
                <w:noProof/>
                <w:webHidden/>
              </w:rPr>
              <w:tab/>
            </w:r>
            <w:r w:rsidR="00356B70">
              <w:rPr>
                <w:noProof/>
                <w:webHidden/>
              </w:rPr>
              <w:fldChar w:fldCharType="begin"/>
            </w:r>
            <w:r w:rsidR="00356B70">
              <w:rPr>
                <w:noProof/>
                <w:webHidden/>
              </w:rPr>
              <w:instrText xml:space="preserve"> PAGEREF _Toc159227234 \h </w:instrText>
            </w:r>
            <w:r w:rsidR="00356B70">
              <w:rPr>
                <w:noProof/>
                <w:webHidden/>
              </w:rPr>
            </w:r>
            <w:r w:rsidR="00356B70">
              <w:rPr>
                <w:noProof/>
                <w:webHidden/>
              </w:rPr>
              <w:fldChar w:fldCharType="separate"/>
            </w:r>
            <w:r w:rsidR="00356B70">
              <w:rPr>
                <w:noProof/>
                <w:webHidden/>
              </w:rPr>
              <w:t>6</w:t>
            </w:r>
            <w:r w:rsidR="00356B70">
              <w:rPr>
                <w:noProof/>
                <w:webHidden/>
              </w:rPr>
              <w:fldChar w:fldCharType="end"/>
            </w:r>
          </w:hyperlink>
        </w:p>
        <w:p w14:paraId="282521B8" w14:textId="68103AB6" w:rsidR="00356B70" w:rsidRDefault="00747EBD">
          <w:pPr>
            <w:pStyle w:val="TOC1"/>
            <w:tabs>
              <w:tab w:val="left" w:pos="440"/>
              <w:tab w:val="right" w:leader="dot" w:pos="9736"/>
            </w:tabs>
            <w:rPr>
              <w:rFonts w:asciiTheme="minorHAnsi" w:eastAsiaTheme="minorEastAsia" w:hAnsiTheme="minorHAnsi"/>
              <w:noProof/>
              <w:kern w:val="2"/>
              <w:sz w:val="22"/>
              <w:lang w:eastAsia="en-ZA"/>
              <w14:ligatures w14:val="standardContextual"/>
            </w:rPr>
          </w:pPr>
          <w:hyperlink w:anchor="_Toc159227235" w:history="1">
            <w:r w:rsidR="00356B70" w:rsidRPr="00896E70">
              <w:rPr>
                <w:rStyle w:val="Hyperlink"/>
                <w:noProof/>
                <w:lang w:val="en-US"/>
              </w:rPr>
              <w:t>9.</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Amendments to active applications</w:t>
            </w:r>
            <w:r w:rsidR="00356B70">
              <w:rPr>
                <w:noProof/>
                <w:webHidden/>
              </w:rPr>
              <w:tab/>
            </w:r>
            <w:r w:rsidR="00356B70">
              <w:rPr>
                <w:noProof/>
                <w:webHidden/>
              </w:rPr>
              <w:fldChar w:fldCharType="begin"/>
            </w:r>
            <w:r w:rsidR="00356B70">
              <w:rPr>
                <w:noProof/>
                <w:webHidden/>
              </w:rPr>
              <w:instrText xml:space="preserve"> PAGEREF _Toc159227235 \h </w:instrText>
            </w:r>
            <w:r w:rsidR="00356B70">
              <w:rPr>
                <w:noProof/>
                <w:webHidden/>
              </w:rPr>
            </w:r>
            <w:r w:rsidR="00356B70">
              <w:rPr>
                <w:noProof/>
                <w:webHidden/>
              </w:rPr>
              <w:fldChar w:fldCharType="separate"/>
            </w:r>
            <w:r w:rsidR="00356B70">
              <w:rPr>
                <w:noProof/>
                <w:webHidden/>
              </w:rPr>
              <w:t>6</w:t>
            </w:r>
            <w:r w:rsidR="00356B70">
              <w:rPr>
                <w:noProof/>
                <w:webHidden/>
              </w:rPr>
              <w:fldChar w:fldCharType="end"/>
            </w:r>
          </w:hyperlink>
        </w:p>
        <w:p w14:paraId="338B6902" w14:textId="548E0D9D" w:rsidR="00356B70" w:rsidRDefault="00747EBD">
          <w:pPr>
            <w:pStyle w:val="TOC1"/>
            <w:tabs>
              <w:tab w:val="left" w:pos="660"/>
              <w:tab w:val="right" w:leader="dot" w:pos="9736"/>
            </w:tabs>
            <w:rPr>
              <w:rFonts w:asciiTheme="minorHAnsi" w:eastAsiaTheme="minorEastAsia" w:hAnsiTheme="minorHAnsi"/>
              <w:noProof/>
              <w:kern w:val="2"/>
              <w:sz w:val="22"/>
              <w:lang w:eastAsia="en-ZA"/>
              <w14:ligatures w14:val="standardContextual"/>
            </w:rPr>
          </w:pPr>
          <w:hyperlink w:anchor="_Toc159227236" w:history="1">
            <w:r w:rsidR="00356B70" w:rsidRPr="00896E70">
              <w:rPr>
                <w:rStyle w:val="Hyperlink"/>
                <w:noProof/>
                <w:lang w:val="en-US"/>
              </w:rPr>
              <w:t>10.</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Reporting</w:t>
            </w:r>
            <w:r w:rsidR="00356B70">
              <w:rPr>
                <w:noProof/>
                <w:webHidden/>
              </w:rPr>
              <w:tab/>
            </w:r>
            <w:r w:rsidR="00356B70">
              <w:rPr>
                <w:noProof/>
                <w:webHidden/>
              </w:rPr>
              <w:fldChar w:fldCharType="begin"/>
            </w:r>
            <w:r w:rsidR="00356B70">
              <w:rPr>
                <w:noProof/>
                <w:webHidden/>
              </w:rPr>
              <w:instrText xml:space="preserve"> PAGEREF _Toc159227236 \h </w:instrText>
            </w:r>
            <w:r w:rsidR="00356B70">
              <w:rPr>
                <w:noProof/>
                <w:webHidden/>
              </w:rPr>
            </w:r>
            <w:r w:rsidR="00356B70">
              <w:rPr>
                <w:noProof/>
                <w:webHidden/>
              </w:rPr>
              <w:fldChar w:fldCharType="separate"/>
            </w:r>
            <w:r w:rsidR="00356B70">
              <w:rPr>
                <w:noProof/>
                <w:webHidden/>
              </w:rPr>
              <w:t>7</w:t>
            </w:r>
            <w:r w:rsidR="00356B70">
              <w:rPr>
                <w:noProof/>
                <w:webHidden/>
              </w:rPr>
              <w:fldChar w:fldCharType="end"/>
            </w:r>
          </w:hyperlink>
        </w:p>
        <w:p w14:paraId="0648516A" w14:textId="445C2096" w:rsidR="00356B70" w:rsidRDefault="00747EBD">
          <w:pPr>
            <w:pStyle w:val="TOC2"/>
            <w:tabs>
              <w:tab w:val="left" w:pos="660"/>
              <w:tab w:val="right" w:leader="dot" w:pos="9736"/>
            </w:tabs>
            <w:rPr>
              <w:rFonts w:asciiTheme="minorHAnsi" w:eastAsiaTheme="minorEastAsia" w:hAnsiTheme="minorHAnsi"/>
              <w:noProof/>
              <w:kern w:val="2"/>
              <w:sz w:val="22"/>
              <w:lang w:eastAsia="en-ZA"/>
              <w14:ligatures w14:val="standardContextual"/>
            </w:rPr>
          </w:pPr>
          <w:hyperlink w:anchor="_Toc159227237" w:history="1">
            <w:r w:rsidR="00356B70" w:rsidRPr="00896E70">
              <w:rPr>
                <w:rStyle w:val="Hyperlink"/>
                <w:noProof/>
              </w:rPr>
              <w:t>a.</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rPr>
              <w:t>Annual progress reports</w:t>
            </w:r>
            <w:r w:rsidR="00356B70">
              <w:rPr>
                <w:noProof/>
                <w:webHidden/>
              </w:rPr>
              <w:tab/>
            </w:r>
            <w:r w:rsidR="00356B70">
              <w:rPr>
                <w:noProof/>
                <w:webHidden/>
              </w:rPr>
              <w:fldChar w:fldCharType="begin"/>
            </w:r>
            <w:r w:rsidR="00356B70">
              <w:rPr>
                <w:noProof/>
                <w:webHidden/>
              </w:rPr>
              <w:instrText xml:space="preserve"> PAGEREF _Toc159227237 \h </w:instrText>
            </w:r>
            <w:r w:rsidR="00356B70">
              <w:rPr>
                <w:noProof/>
                <w:webHidden/>
              </w:rPr>
            </w:r>
            <w:r w:rsidR="00356B70">
              <w:rPr>
                <w:noProof/>
                <w:webHidden/>
              </w:rPr>
              <w:fldChar w:fldCharType="separate"/>
            </w:r>
            <w:r w:rsidR="00356B70">
              <w:rPr>
                <w:noProof/>
                <w:webHidden/>
              </w:rPr>
              <w:t>7</w:t>
            </w:r>
            <w:r w:rsidR="00356B70">
              <w:rPr>
                <w:noProof/>
                <w:webHidden/>
              </w:rPr>
              <w:fldChar w:fldCharType="end"/>
            </w:r>
          </w:hyperlink>
        </w:p>
        <w:p w14:paraId="1F680143" w14:textId="74B5E5B6" w:rsidR="00356B70" w:rsidRDefault="00747EBD">
          <w:pPr>
            <w:pStyle w:val="TOC2"/>
            <w:tabs>
              <w:tab w:val="left" w:pos="660"/>
              <w:tab w:val="right" w:leader="dot" w:pos="9736"/>
            </w:tabs>
            <w:rPr>
              <w:rFonts w:asciiTheme="minorHAnsi" w:eastAsiaTheme="minorEastAsia" w:hAnsiTheme="minorHAnsi"/>
              <w:noProof/>
              <w:kern w:val="2"/>
              <w:sz w:val="22"/>
              <w:lang w:eastAsia="en-ZA"/>
              <w14:ligatures w14:val="standardContextual"/>
            </w:rPr>
          </w:pPr>
          <w:hyperlink w:anchor="_Toc159227238" w:history="1">
            <w:r w:rsidR="00356B70" w:rsidRPr="00896E70">
              <w:rPr>
                <w:rStyle w:val="Hyperlink"/>
                <w:noProof/>
              </w:rPr>
              <w:t>b.</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rPr>
              <w:t>Research protocol closure reports</w:t>
            </w:r>
            <w:r w:rsidR="00356B70">
              <w:rPr>
                <w:noProof/>
                <w:webHidden/>
              </w:rPr>
              <w:tab/>
            </w:r>
            <w:r w:rsidR="00356B70">
              <w:rPr>
                <w:noProof/>
                <w:webHidden/>
              </w:rPr>
              <w:fldChar w:fldCharType="begin"/>
            </w:r>
            <w:r w:rsidR="00356B70">
              <w:rPr>
                <w:noProof/>
                <w:webHidden/>
              </w:rPr>
              <w:instrText xml:space="preserve"> PAGEREF _Toc159227238 \h </w:instrText>
            </w:r>
            <w:r w:rsidR="00356B70">
              <w:rPr>
                <w:noProof/>
                <w:webHidden/>
              </w:rPr>
            </w:r>
            <w:r w:rsidR="00356B70">
              <w:rPr>
                <w:noProof/>
                <w:webHidden/>
              </w:rPr>
              <w:fldChar w:fldCharType="separate"/>
            </w:r>
            <w:r w:rsidR="00356B70">
              <w:rPr>
                <w:noProof/>
                <w:webHidden/>
              </w:rPr>
              <w:t>8</w:t>
            </w:r>
            <w:r w:rsidR="00356B70">
              <w:rPr>
                <w:noProof/>
                <w:webHidden/>
              </w:rPr>
              <w:fldChar w:fldCharType="end"/>
            </w:r>
          </w:hyperlink>
        </w:p>
        <w:p w14:paraId="74053231" w14:textId="0F0E9E6D" w:rsidR="00356B70" w:rsidRDefault="00747EBD">
          <w:pPr>
            <w:pStyle w:val="TOC1"/>
            <w:tabs>
              <w:tab w:val="left" w:pos="660"/>
              <w:tab w:val="right" w:leader="dot" w:pos="9736"/>
            </w:tabs>
            <w:rPr>
              <w:rFonts w:asciiTheme="minorHAnsi" w:eastAsiaTheme="minorEastAsia" w:hAnsiTheme="minorHAnsi"/>
              <w:noProof/>
              <w:kern w:val="2"/>
              <w:sz w:val="22"/>
              <w:lang w:eastAsia="en-ZA"/>
              <w14:ligatures w14:val="standardContextual"/>
            </w:rPr>
          </w:pPr>
          <w:hyperlink w:anchor="_Toc159227239" w:history="1">
            <w:r w:rsidR="00356B70" w:rsidRPr="00896E70">
              <w:rPr>
                <w:rStyle w:val="Hyperlink"/>
                <w:noProof/>
                <w:lang w:val="en-US"/>
              </w:rPr>
              <w:t>11.</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Monitoring of this SOP</w:t>
            </w:r>
            <w:r w:rsidR="00356B70">
              <w:rPr>
                <w:noProof/>
                <w:webHidden/>
              </w:rPr>
              <w:tab/>
            </w:r>
            <w:r w:rsidR="00356B70">
              <w:rPr>
                <w:noProof/>
                <w:webHidden/>
              </w:rPr>
              <w:fldChar w:fldCharType="begin"/>
            </w:r>
            <w:r w:rsidR="00356B70">
              <w:rPr>
                <w:noProof/>
                <w:webHidden/>
              </w:rPr>
              <w:instrText xml:space="preserve"> PAGEREF _Toc159227239 \h </w:instrText>
            </w:r>
            <w:r w:rsidR="00356B70">
              <w:rPr>
                <w:noProof/>
                <w:webHidden/>
              </w:rPr>
            </w:r>
            <w:r w:rsidR="00356B70">
              <w:rPr>
                <w:noProof/>
                <w:webHidden/>
              </w:rPr>
              <w:fldChar w:fldCharType="separate"/>
            </w:r>
            <w:r w:rsidR="00356B70">
              <w:rPr>
                <w:noProof/>
                <w:webHidden/>
              </w:rPr>
              <w:t>8</w:t>
            </w:r>
            <w:r w:rsidR="00356B70">
              <w:rPr>
                <w:noProof/>
                <w:webHidden/>
              </w:rPr>
              <w:fldChar w:fldCharType="end"/>
            </w:r>
          </w:hyperlink>
        </w:p>
        <w:p w14:paraId="06636D40" w14:textId="3D8EF028" w:rsidR="00356B70" w:rsidRDefault="00747EBD">
          <w:pPr>
            <w:pStyle w:val="TOC1"/>
            <w:tabs>
              <w:tab w:val="left" w:pos="660"/>
              <w:tab w:val="right" w:leader="dot" w:pos="9736"/>
            </w:tabs>
            <w:rPr>
              <w:rFonts w:asciiTheme="minorHAnsi" w:eastAsiaTheme="minorEastAsia" w:hAnsiTheme="minorHAnsi"/>
              <w:noProof/>
              <w:kern w:val="2"/>
              <w:sz w:val="22"/>
              <w:lang w:eastAsia="en-ZA"/>
              <w14:ligatures w14:val="standardContextual"/>
            </w:rPr>
          </w:pPr>
          <w:hyperlink w:anchor="_Toc159227240" w:history="1">
            <w:r w:rsidR="00356B70" w:rsidRPr="00896E70">
              <w:rPr>
                <w:rStyle w:val="Hyperlink"/>
                <w:noProof/>
                <w:lang w:val="en-US"/>
              </w:rPr>
              <w:t>12.</w:t>
            </w:r>
            <w:r w:rsidR="00356B70">
              <w:rPr>
                <w:rFonts w:asciiTheme="minorHAnsi" w:eastAsiaTheme="minorEastAsia" w:hAnsiTheme="minorHAnsi"/>
                <w:noProof/>
                <w:kern w:val="2"/>
                <w:sz w:val="22"/>
                <w:lang w:eastAsia="en-ZA"/>
                <w14:ligatures w14:val="standardContextual"/>
              </w:rPr>
              <w:tab/>
            </w:r>
            <w:r w:rsidR="00356B70" w:rsidRPr="00896E70">
              <w:rPr>
                <w:rStyle w:val="Hyperlink"/>
                <w:noProof/>
                <w:lang w:val="en-US"/>
              </w:rPr>
              <w:t>Authorship and attribution</w:t>
            </w:r>
            <w:r w:rsidR="00356B70">
              <w:rPr>
                <w:noProof/>
                <w:webHidden/>
              </w:rPr>
              <w:tab/>
            </w:r>
            <w:r w:rsidR="00356B70">
              <w:rPr>
                <w:noProof/>
                <w:webHidden/>
              </w:rPr>
              <w:fldChar w:fldCharType="begin"/>
            </w:r>
            <w:r w:rsidR="00356B70">
              <w:rPr>
                <w:noProof/>
                <w:webHidden/>
              </w:rPr>
              <w:instrText xml:space="preserve"> PAGEREF _Toc159227240 \h </w:instrText>
            </w:r>
            <w:r w:rsidR="00356B70">
              <w:rPr>
                <w:noProof/>
                <w:webHidden/>
              </w:rPr>
            </w:r>
            <w:r w:rsidR="00356B70">
              <w:rPr>
                <w:noProof/>
                <w:webHidden/>
              </w:rPr>
              <w:fldChar w:fldCharType="separate"/>
            </w:r>
            <w:r w:rsidR="00356B70">
              <w:rPr>
                <w:noProof/>
                <w:webHidden/>
              </w:rPr>
              <w:t>8</w:t>
            </w:r>
            <w:r w:rsidR="00356B70">
              <w:rPr>
                <w:noProof/>
                <w:webHidden/>
              </w:rPr>
              <w:fldChar w:fldCharType="end"/>
            </w:r>
          </w:hyperlink>
        </w:p>
        <w:p w14:paraId="41E476BD" w14:textId="2F62F602" w:rsidR="00BB1FA4" w:rsidRDefault="00FA2B05">
          <w:pPr>
            <w:rPr>
              <w:b/>
              <w:bCs/>
              <w:noProof/>
            </w:rPr>
          </w:pPr>
          <w:r>
            <w:rPr>
              <w:b/>
              <w:bCs/>
              <w:noProof/>
            </w:rPr>
            <w:fldChar w:fldCharType="end"/>
          </w:r>
        </w:p>
      </w:sdtContent>
    </w:sdt>
    <w:p w14:paraId="238C69C1" w14:textId="38D797B9" w:rsidR="004F6D91" w:rsidRPr="00BB1FA4" w:rsidRDefault="004F6D91">
      <w:r>
        <w:rPr>
          <w:lang w:val="en-US"/>
        </w:rPr>
        <w:br w:type="page"/>
      </w:r>
    </w:p>
    <w:p w14:paraId="6B140098" w14:textId="0EDAD13E" w:rsidR="00A45FBB" w:rsidRDefault="00A45FBB" w:rsidP="00C772AB">
      <w:pPr>
        <w:pStyle w:val="Heading1"/>
        <w:rPr>
          <w:lang w:val="en-US"/>
        </w:rPr>
      </w:pPr>
      <w:bookmarkStart w:id="0" w:name="_Toc159227224"/>
      <w:r>
        <w:rPr>
          <w:lang w:val="en-US"/>
        </w:rPr>
        <w:lastRenderedPageBreak/>
        <w:t>Abbreviations</w:t>
      </w:r>
      <w:r w:rsidR="0055094C">
        <w:rPr>
          <w:lang w:val="en-US"/>
        </w:rPr>
        <w:t xml:space="preserve"> and definitions</w:t>
      </w:r>
      <w:bookmarkEnd w:id="0"/>
    </w:p>
    <w:p w14:paraId="5DCA4EC9" w14:textId="646FAFD0" w:rsidR="0055094C" w:rsidRDefault="0055094C" w:rsidP="00D222D1">
      <w:pPr>
        <w:pStyle w:val="Heading2"/>
      </w:pPr>
      <w:bookmarkStart w:id="1" w:name="_Toc159227225"/>
      <w:r>
        <w:t>Abbreviations</w:t>
      </w:r>
      <w:bookmarkEnd w:id="1"/>
    </w:p>
    <w:tbl>
      <w:tblPr>
        <w:tblStyle w:val="TableGrid"/>
        <w:tblW w:w="0" w:type="auto"/>
        <w:tblLook w:val="04A0" w:firstRow="1" w:lastRow="0" w:firstColumn="1" w:lastColumn="0" w:noHBand="0" w:noVBand="1"/>
      </w:tblPr>
      <w:tblGrid>
        <w:gridCol w:w="1271"/>
        <w:gridCol w:w="4678"/>
      </w:tblGrid>
      <w:tr w:rsidR="008F2359" w14:paraId="64A3CBDD" w14:textId="77777777" w:rsidTr="0055094C">
        <w:trPr>
          <w:trHeight w:val="340"/>
        </w:trPr>
        <w:tc>
          <w:tcPr>
            <w:tcW w:w="1271" w:type="dxa"/>
            <w:vAlign w:val="center"/>
          </w:tcPr>
          <w:p w14:paraId="6C37A075" w14:textId="2671B420" w:rsidR="008F2359" w:rsidRDefault="008F2359" w:rsidP="0055094C">
            <w:pPr>
              <w:pStyle w:val="NoSpacing"/>
              <w:jc w:val="left"/>
            </w:pPr>
            <w:r>
              <w:t>APR</w:t>
            </w:r>
          </w:p>
        </w:tc>
        <w:tc>
          <w:tcPr>
            <w:tcW w:w="4678" w:type="dxa"/>
            <w:vAlign w:val="center"/>
          </w:tcPr>
          <w:p w14:paraId="2D139E11" w14:textId="5CE9500C" w:rsidR="008F2359" w:rsidRDefault="008F2359" w:rsidP="0055094C">
            <w:pPr>
              <w:pStyle w:val="NoSpacing"/>
              <w:jc w:val="left"/>
            </w:pPr>
            <w:r>
              <w:t>Annual Progress Report</w:t>
            </w:r>
          </w:p>
        </w:tc>
      </w:tr>
      <w:tr w:rsidR="008F2359" w14:paraId="52FA12A1" w14:textId="77777777" w:rsidTr="0055094C">
        <w:trPr>
          <w:trHeight w:val="340"/>
        </w:trPr>
        <w:tc>
          <w:tcPr>
            <w:tcW w:w="1271" w:type="dxa"/>
            <w:vAlign w:val="center"/>
          </w:tcPr>
          <w:p w14:paraId="3C878F78" w14:textId="77777777" w:rsidR="008F2359" w:rsidRDefault="008F2359" w:rsidP="0055094C">
            <w:pPr>
              <w:pStyle w:val="NoSpacing"/>
              <w:jc w:val="left"/>
            </w:pPr>
            <w:r>
              <w:t>BSL</w:t>
            </w:r>
          </w:p>
        </w:tc>
        <w:tc>
          <w:tcPr>
            <w:tcW w:w="4678" w:type="dxa"/>
            <w:vAlign w:val="center"/>
          </w:tcPr>
          <w:p w14:paraId="3797BB52" w14:textId="77777777" w:rsidR="008F2359" w:rsidRDefault="008F2359" w:rsidP="0055094C">
            <w:pPr>
              <w:pStyle w:val="NoSpacing"/>
              <w:jc w:val="left"/>
            </w:pPr>
            <w:r>
              <w:t>Biosafety Level</w:t>
            </w:r>
          </w:p>
        </w:tc>
      </w:tr>
      <w:tr w:rsidR="008F2359" w14:paraId="5C69B5B3" w14:textId="77777777" w:rsidTr="0055094C">
        <w:trPr>
          <w:trHeight w:val="340"/>
        </w:trPr>
        <w:tc>
          <w:tcPr>
            <w:tcW w:w="1271" w:type="dxa"/>
            <w:vAlign w:val="center"/>
          </w:tcPr>
          <w:p w14:paraId="32571D5B" w14:textId="77777777" w:rsidR="008F2359" w:rsidRDefault="008F2359" w:rsidP="0055094C">
            <w:pPr>
              <w:pStyle w:val="NoSpacing"/>
              <w:jc w:val="left"/>
            </w:pPr>
            <w:r>
              <w:t>EBE</w:t>
            </w:r>
          </w:p>
        </w:tc>
        <w:tc>
          <w:tcPr>
            <w:tcW w:w="4678" w:type="dxa"/>
            <w:vAlign w:val="center"/>
          </w:tcPr>
          <w:p w14:paraId="530E0885" w14:textId="77777777" w:rsidR="008F2359" w:rsidRDefault="008F2359" w:rsidP="0055094C">
            <w:pPr>
              <w:pStyle w:val="NoSpacing"/>
              <w:jc w:val="left"/>
            </w:pPr>
            <w:r>
              <w:t>Faculty of Engineering and the Built Environment</w:t>
            </w:r>
          </w:p>
        </w:tc>
      </w:tr>
      <w:tr w:rsidR="008F2359" w14:paraId="64327120" w14:textId="77777777" w:rsidTr="0055094C">
        <w:trPr>
          <w:trHeight w:val="340"/>
        </w:trPr>
        <w:tc>
          <w:tcPr>
            <w:tcW w:w="1271" w:type="dxa"/>
            <w:vAlign w:val="center"/>
          </w:tcPr>
          <w:p w14:paraId="7759572B" w14:textId="77777777" w:rsidR="008F2359" w:rsidRDefault="008F2359" w:rsidP="0055094C">
            <w:pPr>
              <w:pStyle w:val="NoSpacing"/>
              <w:jc w:val="left"/>
            </w:pPr>
            <w:r>
              <w:t>eRA</w:t>
            </w:r>
          </w:p>
        </w:tc>
        <w:tc>
          <w:tcPr>
            <w:tcW w:w="4678" w:type="dxa"/>
            <w:vAlign w:val="center"/>
          </w:tcPr>
          <w:p w14:paraId="3971F78B" w14:textId="03A30227" w:rsidR="008F2359" w:rsidRDefault="003669F1" w:rsidP="0055094C">
            <w:pPr>
              <w:pStyle w:val="NoSpacing"/>
              <w:jc w:val="left"/>
            </w:pPr>
            <w:r>
              <w:t>E</w:t>
            </w:r>
            <w:r w:rsidR="008F2359">
              <w:t>lectronic Research Administration</w:t>
            </w:r>
          </w:p>
        </w:tc>
      </w:tr>
      <w:tr w:rsidR="008F2359" w14:paraId="71FD1FEF" w14:textId="77777777" w:rsidTr="0055094C">
        <w:trPr>
          <w:trHeight w:val="340"/>
        </w:trPr>
        <w:tc>
          <w:tcPr>
            <w:tcW w:w="1271" w:type="dxa"/>
            <w:vAlign w:val="center"/>
          </w:tcPr>
          <w:p w14:paraId="577D6DDE" w14:textId="77777777" w:rsidR="008F2359" w:rsidRDefault="008F2359" w:rsidP="0055094C">
            <w:pPr>
              <w:pStyle w:val="NoSpacing"/>
              <w:jc w:val="left"/>
            </w:pPr>
            <w:r>
              <w:t>FBC</w:t>
            </w:r>
          </w:p>
        </w:tc>
        <w:tc>
          <w:tcPr>
            <w:tcW w:w="4678" w:type="dxa"/>
            <w:vAlign w:val="center"/>
          </w:tcPr>
          <w:p w14:paraId="01ECBC36" w14:textId="77777777" w:rsidR="008F2359" w:rsidRDefault="008F2359" w:rsidP="0055094C">
            <w:pPr>
              <w:pStyle w:val="NoSpacing"/>
              <w:jc w:val="left"/>
            </w:pPr>
            <w:r>
              <w:t>Faculty Biosafety Committee</w:t>
            </w:r>
          </w:p>
        </w:tc>
      </w:tr>
      <w:tr w:rsidR="008F2359" w14:paraId="61009EF2" w14:textId="77777777" w:rsidTr="0055094C">
        <w:trPr>
          <w:trHeight w:val="340"/>
        </w:trPr>
        <w:tc>
          <w:tcPr>
            <w:tcW w:w="1271" w:type="dxa"/>
            <w:vAlign w:val="center"/>
          </w:tcPr>
          <w:p w14:paraId="041679C8" w14:textId="77777777" w:rsidR="008F2359" w:rsidRDefault="008F2359" w:rsidP="0055094C">
            <w:pPr>
              <w:pStyle w:val="NoSpacing"/>
              <w:jc w:val="left"/>
            </w:pPr>
            <w:r>
              <w:t>FHS</w:t>
            </w:r>
          </w:p>
        </w:tc>
        <w:tc>
          <w:tcPr>
            <w:tcW w:w="4678" w:type="dxa"/>
            <w:vAlign w:val="center"/>
          </w:tcPr>
          <w:p w14:paraId="6D4A9345" w14:textId="77777777" w:rsidR="008F2359" w:rsidRDefault="008F2359" w:rsidP="0055094C">
            <w:pPr>
              <w:pStyle w:val="NoSpacing"/>
              <w:jc w:val="left"/>
            </w:pPr>
            <w:r>
              <w:t>Faculty of Health Sciences</w:t>
            </w:r>
          </w:p>
        </w:tc>
      </w:tr>
      <w:tr w:rsidR="006F72F7" w14:paraId="76FE13C2" w14:textId="77777777" w:rsidTr="0055094C">
        <w:trPr>
          <w:trHeight w:val="340"/>
        </w:trPr>
        <w:tc>
          <w:tcPr>
            <w:tcW w:w="1271" w:type="dxa"/>
            <w:vAlign w:val="center"/>
          </w:tcPr>
          <w:p w14:paraId="72A59CC6" w14:textId="1A9CF2B5" w:rsidR="006F72F7" w:rsidRDefault="006F72F7" w:rsidP="0055094C">
            <w:pPr>
              <w:pStyle w:val="NoSpacing"/>
              <w:jc w:val="left"/>
            </w:pPr>
            <w:r>
              <w:t>GMO</w:t>
            </w:r>
          </w:p>
        </w:tc>
        <w:tc>
          <w:tcPr>
            <w:tcW w:w="4678" w:type="dxa"/>
            <w:vAlign w:val="center"/>
          </w:tcPr>
          <w:p w14:paraId="567C3B5C" w14:textId="4D272767" w:rsidR="006F72F7" w:rsidRDefault="006F72F7" w:rsidP="0055094C">
            <w:pPr>
              <w:pStyle w:val="NoSpacing"/>
              <w:jc w:val="left"/>
            </w:pPr>
            <w:r>
              <w:t xml:space="preserve">Genetically Modified </w:t>
            </w:r>
            <w:r w:rsidR="000417DC">
              <w:t>Organism</w:t>
            </w:r>
          </w:p>
        </w:tc>
      </w:tr>
      <w:tr w:rsidR="005D298D" w14:paraId="37C6E9AC" w14:textId="77777777" w:rsidTr="0055094C">
        <w:trPr>
          <w:trHeight w:val="340"/>
        </w:trPr>
        <w:tc>
          <w:tcPr>
            <w:tcW w:w="1271" w:type="dxa"/>
            <w:vAlign w:val="center"/>
          </w:tcPr>
          <w:p w14:paraId="1FEEEEAB" w14:textId="77777777" w:rsidR="005D298D" w:rsidRDefault="005D298D" w:rsidP="0055094C">
            <w:pPr>
              <w:pStyle w:val="NoSpacing"/>
              <w:jc w:val="left"/>
            </w:pPr>
            <w:r>
              <w:t>HREC</w:t>
            </w:r>
          </w:p>
        </w:tc>
        <w:tc>
          <w:tcPr>
            <w:tcW w:w="4678" w:type="dxa"/>
            <w:vAlign w:val="center"/>
          </w:tcPr>
          <w:p w14:paraId="2C46EB8A" w14:textId="77777777" w:rsidR="005D298D" w:rsidRDefault="005D298D" w:rsidP="0055094C">
            <w:pPr>
              <w:pStyle w:val="NoSpacing"/>
              <w:jc w:val="left"/>
            </w:pPr>
            <w:r>
              <w:t>Health Research Ethics Committee</w:t>
            </w:r>
          </w:p>
        </w:tc>
      </w:tr>
      <w:tr w:rsidR="00A45FBB" w14:paraId="4DC09B1B" w14:textId="77777777" w:rsidTr="0055094C">
        <w:trPr>
          <w:trHeight w:val="340"/>
        </w:trPr>
        <w:tc>
          <w:tcPr>
            <w:tcW w:w="1271" w:type="dxa"/>
            <w:vAlign w:val="center"/>
          </w:tcPr>
          <w:p w14:paraId="0EBD3F35" w14:textId="6C980CB2" w:rsidR="00A45FBB" w:rsidRDefault="00A45FBB" w:rsidP="0055094C">
            <w:pPr>
              <w:pStyle w:val="NoSpacing"/>
              <w:jc w:val="left"/>
            </w:pPr>
            <w:r>
              <w:t>IBC</w:t>
            </w:r>
          </w:p>
        </w:tc>
        <w:tc>
          <w:tcPr>
            <w:tcW w:w="4678" w:type="dxa"/>
            <w:vAlign w:val="center"/>
          </w:tcPr>
          <w:p w14:paraId="0D2E8C14" w14:textId="580CF46E" w:rsidR="00A45FBB" w:rsidRDefault="0073116E" w:rsidP="0055094C">
            <w:pPr>
              <w:pStyle w:val="NoSpacing"/>
              <w:jc w:val="left"/>
            </w:pPr>
            <w:r>
              <w:t>Institutional Biosafety Committee</w:t>
            </w:r>
          </w:p>
        </w:tc>
      </w:tr>
      <w:tr w:rsidR="005D298D" w14:paraId="7F561415" w14:textId="77777777" w:rsidTr="0055094C">
        <w:trPr>
          <w:trHeight w:val="340"/>
        </w:trPr>
        <w:tc>
          <w:tcPr>
            <w:tcW w:w="1271" w:type="dxa"/>
            <w:vAlign w:val="center"/>
          </w:tcPr>
          <w:p w14:paraId="35776E56" w14:textId="77777777" w:rsidR="005D298D" w:rsidRDefault="005D298D" w:rsidP="0055094C">
            <w:pPr>
              <w:pStyle w:val="NoSpacing"/>
              <w:jc w:val="left"/>
            </w:pPr>
            <w:r>
              <w:t>IRB</w:t>
            </w:r>
          </w:p>
        </w:tc>
        <w:tc>
          <w:tcPr>
            <w:tcW w:w="4678" w:type="dxa"/>
            <w:vAlign w:val="center"/>
          </w:tcPr>
          <w:p w14:paraId="41D0B900" w14:textId="77777777" w:rsidR="005D298D" w:rsidRDefault="005D298D" w:rsidP="0055094C">
            <w:pPr>
              <w:pStyle w:val="NoSpacing"/>
              <w:jc w:val="left"/>
            </w:pPr>
            <w:r>
              <w:t>Institutional Review Board (=REC)</w:t>
            </w:r>
          </w:p>
        </w:tc>
      </w:tr>
      <w:tr w:rsidR="005D298D" w14:paraId="0114DE44" w14:textId="77777777" w:rsidTr="0055094C">
        <w:trPr>
          <w:trHeight w:val="340"/>
        </w:trPr>
        <w:tc>
          <w:tcPr>
            <w:tcW w:w="1271" w:type="dxa"/>
            <w:vAlign w:val="center"/>
          </w:tcPr>
          <w:p w14:paraId="1AD0C822" w14:textId="77777777" w:rsidR="005D298D" w:rsidRDefault="005D298D" w:rsidP="0055094C">
            <w:pPr>
              <w:pStyle w:val="NoSpacing"/>
              <w:jc w:val="left"/>
            </w:pPr>
            <w:r>
              <w:t>NIH</w:t>
            </w:r>
          </w:p>
        </w:tc>
        <w:tc>
          <w:tcPr>
            <w:tcW w:w="4678" w:type="dxa"/>
            <w:vAlign w:val="center"/>
          </w:tcPr>
          <w:p w14:paraId="569A8609" w14:textId="3167334D" w:rsidR="005D298D" w:rsidRDefault="005D298D" w:rsidP="0055094C">
            <w:pPr>
              <w:pStyle w:val="NoSpacing"/>
              <w:jc w:val="left"/>
            </w:pPr>
            <w:r>
              <w:t>National Institutes of Health</w:t>
            </w:r>
            <w:r w:rsidR="00604D21">
              <w:t>, USA</w:t>
            </w:r>
          </w:p>
        </w:tc>
      </w:tr>
      <w:tr w:rsidR="005D298D" w14:paraId="69C9A8FA" w14:textId="77777777" w:rsidTr="0055094C">
        <w:trPr>
          <w:trHeight w:val="340"/>
        </w:trPr>
        <w:tc>
          <w:tcPr>
            <w:tcW w:w="1271" w:type="dxa"/>
            <w:vAlign w:val="center"/>
          </w:tcPr>
          <w:p w14:paraId="0C39E1F0" w14:textId="77777777" w:rsidR="005D298D" w:rsidRDefault="005D298D" w:rsidP="0055094C">
            <w:pPr>
              <w:pStyle w:val="NoSpacing"/>
              <w:jc w:val="left"/>
            </w:pPr>
            <w:r>
              <w:t>ORI</w:t>
            </w:r>
          </w:p>
        </w:tc>
        <w:tc>
          <w:tcPr>
            <w:tcW w:w="4678" w:type="dxa"/>
            <w:vAlign w:val="center"/>
          </w:tcPr>
          <w:p w14:paraId="239D6F75" w14:textId="77777777" w:rsidR="005D298D" w:rsidRDefault="005D298D" w:rsidP="0055094C">
            <w:pPr>
              <w:pStyle w:val="NoSpacing"/>
              <w:jc w:val="left"/>
            </w:pPr>
            <w:r>
              <w:t>Office of Research Integrity</w:t>
            </w:r>
          </w:p>
        </w:tc>
      </w:tr>
      <w:tr w:rsidR="005D298D" w14:paraId="771AC3EF" w14:textId="77777777" w:rsidTr="0055094C">
        <w:trPr>
          <w:trHeight w:val="340"/>
        </w:trPr>
        <w:tc>
          <w:tcPr>
            <w:tcW w:w="1271" w:type="dxa"/>
            <w:vAlign w:val="center"/>
          </w:tcPr>
          <w:p w14:paraId="16A05F04" w14:textId="1F9655AE" w:rsidR="005D298D" w:rsidRDefault="005D298D" w:rsidP="0055094C">
            <w:pPr>
              <w:pStyle w:val="NoSpacing"/>
              <w:jc w:val="left"/>
            </w:pPr>
            <w:r>
              <w:t>pHBA</w:t>
            </w:r>
          </w:p>
        </w:tc>
        <w:tc>
          <w:tcPr>
            <w:tcW w:w="4678" w:type="dxa"/>
            <w:vAlign w:val="center"/>
          </w:tcPr>
          <w:p w14:paraId="2169E8F5" w14:textId="6561C0F0" w:rsidR="005D298D" w:rsidRDefault="005D298D" w:rsidP="0055094C">
            <w:pPr>
              <w:pStyle w:val="NoSpacing"/>
              <w:jc w:val="left"/>
            </w:pPr>
            <w:r>
              <w:t>potentially Hazardous Biological Agent</w:t>
            </w:r>
          </w:p>
        </w:tc>
      </w:tr>
      <w:tr w:rsidR="00A45FBB" w14:paraId="793E26EA" w14:textId="77777777" w:rsidTr="0055094C">
        <w:trPr>
          <w:trHeight w:val="340"/>
        </w:trPr>
        <w:tc>
          <w:tcPr>
            <w:tcW w:w="1271" w:type="dxa"/>
            <w:vAlign w:val="center"/>
          </w:tcPr>
          <w:p w14:paraId="710B2B5B" w14:textId="54F83769" w:rsidR="00A45FBB" w:rsidRDefault="00A45FBB" w:rsidP="0055094C">
            <w:pPr>
              <w:pStyle w:val="NoSpacing"/>
              <w:jc w:val="left"/>
            </w:pPr>
            <w:r>
              <w:t>PI</w:t>
            </w:r>
          </w:p>
        </w:tc>
        <w:tc>
          <w:tcPr>
            <w:tcW w:w="4678" w:type="dxa"/>
            <w:vAlign w:val="center"/>
          </w:tcPr>
          <w:p w14:paraId="548B2603" w14:textId="67502125" w:rsidR="00A45FBB" w:rsidRDefault="0073116E" w:rsidP="0055094C">
            <w:pPr>
              <w:pStyle w:val="NoSpacing"/>
              <w:jc w:val="left"/>
            </w:pPr>
            <w:r>
              <w:t>Princip</w:t>
            </w:r>
            <w:r w:rsidR="007B0C7D">
              <w:t>al</w:t>
            </w:r>
            <w:r>
              <w:t xml:space="preserve"> Investigator</w:t>
            </w:r>
          </w:p>
        </w:tc>
      </w:tr>
      <w:tr w:rsidR="005D298D" w14:paraId="28B8CCD5" w14:textId="77777777" w:rsidTr="0055094C">
        <w:trPr>
          <w:trHeight w:val="340"/>
        </w:trPr>
        <w:tc>
          <w:tcPr>
            <w:tcW w:w="1271" w:type="dxa"/>
            <w:vAlign w:val="center"/>
          </w:tcPr>
          <w:p w14:paraId="0EC9131B" w14:textId="77777777" w:rsidR="005D298D" w:rsidRDefault="005D298D" w:rsidP="0055094C">
            <w:pPr>
              <w:pStyle w:val="NoSpacing"/>
              <w:jc w:val="left"/>
            </w:pPr>
            <w:r>
              <w:t>REC</w:t>
            </w:r>
          </w:p>
        </w:tc>
        <w:tc>
          <w:tcPr>
            <w:tcW w:w="4678" w:type="dxa"/>
            <w:vAlign w:val="center"/>
          </w:tcPr>
          <w:p w14:paraId="52EEA83B" w14:textId="77777777" w:rsidR="005D298D" w:rsidRDefault="005D298D" w:rsidP="0055094C">
            <w:pPr>
              <w:pStyle w:val="NoSpacing"/>
              <w:jc w:val="left"/>
            </w:pPr>
            <w:r>
              <w:t>Research Ethics Committee (=IRB)</w:t>
            </w:r>
          </w:p>
        </w:tc>
      </w:tr>
      <w:tr w:rsidR="00BC18F5" w14:paraId="50B6D364" w14:textId="77777777" w:rsidTr="0055094C">
        <w:trPr>
          <w:trHeight w:val="340"/>
        </w:trPr>
        <w:tc>
          <w:tcPr>
            <w:tcW w:w="1271" w:type="dxa"/>
            <w:vAlign w:val="center"/>
          </w:tcPr>
          <w:p w14:paraId="528648ED" w14:textId="678FA004" w:rsidR="00BC18F5" w:rsidRDefault="00BC18F5" w:rsidP="0055094C">
            <w:pPr>
              <w:pStyle w:val="NoSpacing"/>
              <w:jc w:val="left"/>
            </w:pPr>
            <w:r>
              <w:t>SCI</w:t>
            </w:r>
          </w:p>
        </w:tc>
        <w:tc>
          <w:tcPr>
            <w:tcW w:w="4678" w:type="dxa"/>
            <w:vAlign w:val="center"/>
          </w:tcPr>
          <w:p w14:paraId="04A889B0" w14:textId="657955A1" w:rsidR="00BC18F5" w:rsidRDefault="0073116E" w:rsidP="0055094C">
            <w:pPr>
              <w:pStyle w:val="NoSpacing"/>
              <w:jc w:val="left"/>
            </w:pPr>
            <w:r>
              <w:t>Faculty of Science</w:t>
            </w:r>
          </w:p>
        </w:tc>
      </w:tr>
    </w:tbl>
    <w:p w14:paraId="1D9DAC2B" w14:textId="77777777" w:rsidR="00A45FBB" w:rsidRDefault="00A45FBB" w:rsidP="00A45FBB">
      <w:pPr>
        <w:pStyle w:val="NoSpacing"/>
      </w:pPr>
    </w:p>
    <w:p w14:paraId="65C6A18D" w14:textId="36CBC65E" w:rsidR="0055094C" w:rsidRDefault="0055094C" w:rsidP="00D222D1">
      <w:pPr>
        <w:pStyle w:val="Heading2"/>
      </w:pPr>
      <w:bookmarkStart w:id="2" w:name="_Toc159227226"/>
      <w:r>
        <w:t>Definitions</w:t>
      </w:r>
      <w:bookmarkEnd w:id="2"/>
    </w:p>
    <w:p w14:paraId="02A9E4C0" w14:textId="763E6D4E" w:rsidR="00BB1FA4" w:rsidRDefault="00BB1FA4" w:rsidP="0055094C">
      <w:pPr>
        <w:pStyle w:val="NoSpacing"/>
      </w:pPr>
      <w:r>
        <w:rPr>
          <w:u w:val="single"/>
        </w:rPr>
        <w:t>Biosafety Level (BSL)</w:t>
      </w:r>
    </w:p>
    <w:p w14:paraId="5B1E02AD" w14:textId="3F4F8B37" w:rsidR="00BB1FA4" w:rsidRDefault="00BB1FA4" w:rsidP="00BB1FA4">
      <w:pPr>
        <w:pStyle w:val="NoSpacing"/>
        <w:numPr>
          <w:ilvl w:val="0"/>
          <w:numId w:val="20"/>
        </w:numPr>
      </w:pPr>
      <w:r>
        <w:t>“</w:t>
      </w:r>
      <w:r w:rsidRPr="00BB1FA4">
        <w:t>A biosafety level is the level of the biocontainment precautions required to work with dangerous biological agents in an enclosed facility. The levels of containment range from the lowest</w:t>
      </w:r>
      <w:r w:rsidR="003669F1">
        <w:t>,</w:t>
      </w:r>
      <w:r w:rsidRPr="00BB1FA4">
        <w:t xml:space="preserve"> biosafety level 1 (BSL-1)</w:t>
      </w:r>
      <w:r w:rsidR="003669F1">
        <w:t>,</w:t>
      </w:r>
      <w:r w:rsidRPr="00BB1FA4">
        <w:t xml:space="preserve"> to the highest at level 4 (BSL-4).</w:t>
      </w:r>
      <w:r>
        <w:t>”</w:t>
      </w:r>
      <w:r>
        <w:rPr>
          <w:rStyle w:val="FootnoteReference"/>
        </w:rPr>
        <w:footnoteReference w:id="1"/>
      </w:r>
    </w:p>
    <w:p w14:paraId="32501AA0" w14:textId="5215C5AF" w:rsidR="00BB1FA4" w:rsidRDefault="00BB1FA4" w:rsidP="00BB1FA4">
      <w:pPr>
        <w:pStyle w:val="NoSpacing"/>
        <w:numPr>
          <w:ilvl w:val="0"/>
          <w:numId w:val="20"/>
        </w:numPr>
      </w:pPr>
      <w:r>
        <w:t>UCT does not conduct work which requires BSL4 facilities.</w:t>
      </w:r>
    </w:p>
    <w:p w14:paraId="6E481C74" w14:textId="77777777" w:rsidR="00BB1FA4" w:rsidRPr="00BB1FA4" w:rsidRDefault="00BB1FA4" w:rsidP="0055094C">
      <w:pPr>
        <w:pStyle w:val="NoSpacing"/>
      </w:pPr>
    </w:p>
    <w:p w14:paraId="1159E157" w14:textId="21A99AF1" w:rsidR="00BB1FA4" w:rsidRPr="00BB1FA4" w:rsidRDefault="00BB1FA4" w:rsidP="0055094C">
      <w:pPr>
        <w:pStyle w:val="NoSpacing"/>
        <w:rPr>
          <w:u w:val="single"/>
        </w:rPr>
      </w:pPr>
      <w:r w:rsidRPr="00BB1FA4">
        <w:rPr>
          <w:u w:val="single"/>
        </w:rPr>
        <w:t>Genetically Modified Organisms (GMOs)</w:t>
      </w:r>
    </w:p>
    <w:p w14:paraId="1DA9B90C" w14:textId="5538C1CB" w:rsidR="00BB1FA4" w:rsidRDefault="00BB1FA4" w:rsidP="0055094C">
      <w:pPr>
        <w:pStyle w:val="NoSpacing"/>
      </w:pPr>
      <w:r>
        <w:t>“P</w:t>
      </w:r>
      <w:r w:rsidRPr="00BB1FA4">
        <w:t>lant, animal</w:t>
      </w:r>
      <w:r w:rsidR="003669F1">
        <w:t>,</w:t>
      </w:r>
      <w:r w:rsidRPr="00BB1FA4">
        <w:t xml:space="preserve"> or microbe in which one or more changes have been made to the genome</w:t>
      </w:r>
      <w:r>
        <w:t xml:space="preserve"> …</w:t>
      </w:r>
      <w:r w:rsidRPr="00BB1FA4">
        <w:t xml:space="preserve"> </w:t>
      </w:r>
      <w:r w:rsidR="003669F1" w:rsidRPr="00BB1FA4">
        <w:t>to</w:t>
      </w:r>
      <w:r w:rsidRPr="00BB1FA4">
        <w:t xml:space="preserve"> alter the characteristics of an organism. Genes can be introduced, enhanced</w:t>
      </w:r>
      <w:r w:rsidR="003669F1">
        <w:t>,</w:t>
      </w:r>
      <w:r w:rsidRPr="00BB1FA4">
        <w:t xml:space="preserve"> or deleted within a species, across species</w:t>
      </w:r>
      <w:r w:rsidR="003669F1">
        <w:t>,</w:t>
      </w:r>
      <w:r w:rsidRPr="00BB1FA4">
        <w:t xml:space="preserve"> or even across kingdoms. GMOs may be used for a variety of purposes, such as making human insulin, producing fermented beverages</w:t>
      </w:r>
      <w:r w:rsidR="003669F1">
        <w:t>,</w:t>
      </w:r>
      <w:r w:rsidRPr="00BB1FA4">
        <w:t xml:space="preserve"> and developing pesticide resistance in crop plants.</w:t>
      </w:r>
      <w:r>
        <w:t>”</w:t>
      </w:r>
      <w:r>
        <w:rPr>
          <w:rStyle w:val="FootnoteReference"/>
        </w:rPr>
        <w:footnoteReference w:id="2"/>
      </w:r>
    </w:p>
    <w:p w14:paraId="2170AEEC" w14:textId="77777777" w:rsidR="00BB1FA4" w:rsidRPr="00BB1FA4" w:rsidRDefault="00BB1FA4" w:rsidP="0055094C">
      <w:pPr>
        <w:pStyle w:val="NoSpacing"/>
      </w:pPr>
    </w:p>
    <w:p w14:paraId="20C810F1" w14:textId="791763BA" w:rsidR="0055094C" w:rsidRPr="00BB1FA4" w:rsidRDefault="0055094C" w:rsidP="0055094C">
      <w:pPr>
        <w:pStyle w:val="NoSpacing"/>
        <w:rPr>
          <w:u w:val="single"/>
        </w:rPr>
      </w:pPr>
      <w:r w:rsidRPr="00BB1FA4">
        <w:rPr>
          <w:u w:val="single"/>
        </w:rPr>
        <w:t>Principal Investigator (PI)</w:t>
      </w:r>
    </w:p>
    <w:p w14:paraId="04E11A9A" w14:textId="7A4FD085" w:rsidR="0055094C" w:rsidRDefault="0055094C" w:rsidP="0055094C">
      <w:pPr>
        <w:pStyle w:val="NoSpacing"/>
        <w:numPr>
          <w:ilvl w:val="0"/>
          <w:numId w:val="19"/>
        </w:numPr>
      </w:pPr>
      <w:r>
        <w:t>“</w:t>
      </w:r>
      <w:r w:rsidRPr="0055094C">
        <w:t xml:space="preserve">PI refers to the person(s) in charge of a clinical trial or a scientific research grant. The </w:t>
      </w:r>
      <w:r w:rsidR="003669F1">
        <w:t>PI</w:t>
      </w:r>
      <w:r w:rsidRPr="0055094C">
        <w:t xml:space="preserve"> prepares and carries out the clinical trial protocol (plan for the study) or research paid for by the grant. The </w:t>
      </w:r>
      <w:r w:rsidR="003669F1">
        <w:t>PI</w:t>
      </w:r>
      <w:r w:rsidRPr="0055094C">
        <w:t xml:space="preserve"> also analyzes the data and reports the results of the trial or grant research.</w:t>
      </w:r>
      <w:r>
        <w:t>”</w:t>
      </w:r>
      <w:r>
        <w:rPr>
          <w:rStyle w:val="FootnoteReference"/>
        </w:rPr>
        <w:footnoteReference w:id="3"/>
      </w:r>
    </w:p>
    <w:p w14:paraId="2C3F6711" w14:textId="0D0D4A55" w:rsidR="0055094C" w:rsidRPr="0055094C" w:rsidRDefault="0055094C" w:rsidP="0055094C">
      <w:pPr>
        <w:pStyle w:val="NoSpacing"/>
        <w:numPr>
          <w:ilvl w:val="0"/>
          <w:numId w:val="19"/>
        </w:numPr>
      </w:pPr>
      <w:r>
        <w:t>“</w:t>
      </w:r>
      <w:r w:rsidRPr="0055094C">
        <w:rPr>
          <w:b/>
          <w:bCs/>
        </w:rPr>
        <w:t>A PI is primarily responsible for the preparation, conduct, and administration of a research grant</w:t>
      </w:r>
      <w:r w:rsidRPr="0055094C">
        <w:t xml:space="preserve">, cooperative agreement, or other sponsored project </w:t>
      </w:r>
      <w:r w:rsidRPr="0055094C">
        <w:rPr>
          <w:b/>
          <w:bCs/>
        </w:rPr>
        <w:t>in compliance with applicable laws and regulations and institutional policy governing the conduct</w:t>
      </w:r>
      <w:r w:rsidRPr="0055094C">
        <w:t xml:space="preserve"> of clinical research.</w:t>
      </w:r>
      <w:r>
        <w:t>”</w:t>
      </w:r>
      <w:r>
        <w:rPr>
          <w:rStyle w:val="FootnoteReference"/>
        </w:rPr>
        <w:footnoteReference w:id="4"/>
      </w:r>
    </w:p>
    <w:p w14:paraId="2A1A8894" w14:textId="63E6B541" w:rsidR="0073116E" w:rsidRDefault="0055094C" w:rsidP="0055094C">
      <w:pPr>
        <w:pStyle w:val="NoSpacing"/>
        <w:numPr>
          <w:ilvl w:val="0"/>
          <w:numId w:val="19"/>
        </w:numPr>
      </w:pPr>
      <w:r>
        <w:t>All submissions to the IBC must be</w:t>
      </w:r>
      <w:r w:rsidR="00BB1FA4">
        <w:t xml:space="preserve"> signed-off and</w:t>
      </w:r>
      <w:r>
        <w:t xml:space="preserve"> made by the PI, even if the documentation was prepared by another member of the team. The PI is responsible for the final submission to the IBC and the conduct of the project for the duration of its activity.</w:t>
      </w:r>
    </w:p>
    <w:p w14:paraId="246EF7E9" w14:textId="77777777" w:rsidR="0055094C" w:rsidRDefault="0055094C" w:rsidP="00A45FBB">
      <w:pPr>
        <w:pStyle w:val="NoSpacing"/>
      </w:pPr>
    </w:p>
    <w:p w14:paraId="5ACB7219" w14:textId="3C0468AA" w:rsidR="00D642F6" w:rsidRPr="00BB1FA4" w:rsidRDefault="00D642F6" w:rsidP="00A45FBB">
      <w:pPr>
        <w:pStyle w:val="NoSpacing"/>
        <w:rPr>
          <w:u w:val="single"/>
        </w:rPr>
      </w:pPr>
      <w:r w:rsidRPr="00BB1FA4">
        <w:rPr>
          <w:u w:val="single"/>
        </w:rPr>
        <w:t>Potentially Hazardous Biological Agents (pHBAs)</w:t>
      </w:r>
    </w:p>
    <w:p w14:paraId="0D791496" w14:textId="18BA2095" w:rsidR="00BB1FA4" w:rsidRDefault="00D642F6" w:rsidP="00A45FBB">
      <w:pPr>
        <w:pStyle w:val="NoSpacing"/>
      </w:pPr>
      <w:r>
        <w:t>“</w:t>
      </w:r>
      <w:r w:rsidRPr="00D642F6">
        <w:t>General term used to describe recombinant and synthetic nucleic acids, toxins, human, animal and plant pathogens requiring BSL-2 and higher and Select Agents that could cause disease in humans.</w:t>
      </w:r>
      <w:r>
        <w:t>”</w:t>
      </w:r>
      <w:r>
        <w:rPr>
          <w:rStyle w:val="FootnoteReference"/>
        </w:rPr>
        <w:footnoteReference w:id="5"/>
      </w:r>
    </w:p>
    <w:p w14:paraId="53105A2C" w14:textId="77777777" w:rsidR="003C73EB" w:rsidRDefault="003C73EB" w:rsidP="00A45FBB">
      <w:pPr>
        <w:pStyle w:val="NoSpacing"/>
      </w:pPr>
    </w:p>
    <w:p w14:paraId="433CF37B" w14:textId="77777777" w:rsidR="003C73EB" w:rsidRPr="00A45FBB" w:rsidRDefault="003C73EB" w:rsidP="00A45FBB">
      <w:pPr>
        <w:pStyle w:val="NoSpacing"/>
      </w:pPr>
    </w:p>
    <w:p w14:paraId="4E96E5C4" w14:textId="1817FB65" w:rsidR="00E071C3" w:rsidRDefault="004F6D91" w:rsidP="00C772AB">
      <w:pPr>
        <w:pStyle w:val="Heading1"/>
        <w:rPr>
          <w:lang w:val="en-US"/>
        </w:rPr>
      </w:pPr>
      <w:bookmarkStart w:id="3" w:name="_Toc159227227"/>
      <w:r>
        <w:rPr>
          <w:lang w:val="en-US"/>
        </w:rPr>
        <w:t>Preamble and purpose</w:t>
      </w:r>
      <w:bookmarkEnd w:id="3"/>
    </w:p>
    <w:p w14:paraId="5D64CB73" w14:textId="77777777" w:rsidR="00FA2B05" w:rsidRDefault="00FA2B05" w:rsidP="00FA2B05">
      <w:pPr>
        <w:pStyle w:val="NoSpacing"/>
        <w:rPr>
          <w:lang w:val="en-US"/>
        </w:rPr>
      </w:pPr>
      <w:r>
        <w:rPr>
          <w:lang w:val="en-US"/>
        </w:rPr>
        <w:t>The purpose of this document is to outline the processes and procedures for:</w:t>
      </w:r>
    </w:p>
    <w:p w14:paraId="5EBBC6AD" w14:textId="77777777" w:rsidR="00FA2B05" w:rsidRDefault="00FA2B05" w:rsidP="00FA2B05">
      <w:pPr>
        <w:pStyle w:val="NoSpacing"/>
        <w:numPr>
          <w:ilvl w:val="0"/>
          <w:numId w:val="3"/>
        </w:numPr>
        <w:rPr>
          <w:lang w:val="en-US"/>
        </w:rPr>
      </w:pPr>
      <w:r>
        <w:rPr>
          <w:lang w:val="en-US"/>
        </w:rPr>
        <w:t xml:space="preserve">submission of research protocols to the Institutional Biosafety Committee (IBC), </w:t>
      </w:r>
    </w:p>
    <w:p w14:paraId="7DC273E3" w14:textId="5D0F828F" w:rsidR="004F6D91" w:rsidRDefault="00FA2B05" w:rsidP="00FA2B05">
      <w:pPr>
        <w:pStyle w:val="NoSpacing"/>
        <w:numPr>
          <w:ilvl w:val="0"/>
          <w:numId w:val="3"/>
        </w:numPr>
        <w:rPr>
          <w:lang w:val="en-US"/>
        </w:rPr>
      </w:pPr>
      <w:r>
        <w:rPr>
          <w:lang w:val="en-US"/>
        </w:rPr>
        <w:t>review of research protocols by the IBC</w:t>
      </w:r>
      <w:r w:rsidR="00604D21">
        <w:rPr>
          <w:lang w:val="en-US"/>
        </w:rPr>
        <w:t>,</w:t>
      </w:r>
    </w:p>
    <w:p w14:paraId="60EFFE5D" w14:textId="2C11E68E" w:rsidR="00FA2B05" w:rsidRDefault="00FA2B05" w:rsidP="00FA2B05">
      <w:pPr>
        <w:pStyle w:val="NoSpacing"/>
        <w:numPr>
          <w:ilvl w:val="0"/>
          <w:numId w:val="3"/>
        </w:numPr>
        <w:rPr>
          <w:lang w:val="en-US"/>
        </w:rPr>
      </w:pPr>
      <w:r>
        <w:rPr>
          <w:lang w:val="en-US"/>
        </w:rPr>
        <w:t>determination of an outcome of a research protocol, including issuing of outcomes letters and/or noting research protocols</w:t>
      </w:r>
      <w:r w:rsidR="00604D21">
        <w:rPr>
          <w:lang w:val="en-US"/>
        </w:rPr>
        <w:t>,</w:t>
      </w:r>
      <w:r>
        <w:rPr>
          <w:lang w:val="en-US"/>
        </w:rPr>
        <w:t xml:space="preserve"> as necessary</w:t>
      </w:r>
      <w:r w:rsidR="00604D21">
        <w:rPr>
          <w:lang w:val="en-US"/>
        </w:rPr>
        <w:t>,</w:t>
      </w:r>
      <w:r>
        <w:rPr>
          <w:lang w:val="en-US"/>
        </w:rPr>
        <w:t xml:space="preserve"> and </w:t>
      </w:r>
    </w:p>
    <w:p w14:paraId="5479477F" w14:textId="21630143" w:rsidR="00FA2B05" w:rsidRDefault="00FA2B05" w:rsidP="00FA2B05">
      <w:pPr>
        <w:pStyle w:val="NoSpacing"/>
        <w:numPr>
          <w:ilvl w:val="0"/>
          <w:numId w:val="3"/>
        </w:numPr>
        <w:rPr>
          <w:lang w:val="en-US"/>
        </w:rPr>
      </w:pPr>
      <w:r>
        <w:rPr>
          <w:lang w:val="en-US"/>
        </w:rPr>
        <w:t>submission, review</w:t>
      </w:r>
      <w:r w:rsidR="00604D21">
        <w:rPr>
          <w:lang w:val="en-US"/>
        </w:rPr>
        <w:t>,</w:t>
      </w:r>
      <w:r>
        <w:rPr>
          <w:lang w:val="en-US"/>
        </w:rPr>
        <w:t xml:space="preserve"> and processing o</w:t>
      </w:r>
      <w:r w:rsidR="00604D21">
        <w:rPr>
          <w:lang w:val="en-US"/>
        </w:rPr>
        <w:t>f</w:t>
      </w:r>
      <w:r>
        <w:rPr>
          <w:lang w:val="en-US"/>
        </w:rPr>
        <w:t xml:space="preserve"> annual progress reports (APRs) and research protocol closure reports</w:t>
      </w:r>
      <w:r w:rsidR="00604D21">
        <w:rPr>
          <w:lang w:val="en-US"/>
        </w:rPr>
        <w:t>.</w:t>
      </w:r>
    </w:p>
    <w:p w14:paraId="09635E58" w14:textId="77777777" w:rsidR="00FA2B05" w:rsidRDefault="00FA2B05" w:rsidP="00FA2B05">
      <w:pPr>
        <w:pStyle w:val="NoSpacing"/>
        <w:rPr>
          <w:lang w:val="en-US"/>
        </w:rPr>
      </w:pPr>
    </w:p>
    <w:p w14:paraId="0A743C04" w14:textId="6ECE235E" w:rsidR="00704BCE" w:rsidRDefault="00704BCE" w:rsidP="00FA2B05">
      <w:pPr>
        <w:pStyle w:val="NoSpacing"/>
        <w:rPr>
          <w:lang w:val="en-US"/>
        </w:rPr>
      </w:pPr>
      <w:r>
        <w:rPr>
          <w:lang w:val="en-US"/>
        </w:rPr>
        <w:t>This document is only intended to describe processes related to the IBC. Researchers may also be required</w:t>
      </w:r>
      <w:r w:rsidR="008122C5">
        <w:rPr>
          <w:lang w:val="en-US"/>
        </w:rPr>
        <w:t>, for a given research protocol,</w:t>
      </w:r>
      <w:r>
        <w:rPr>
          <w:lang w:val="en-US"/>
        </w:rPr>
        <w:t xml:space="preserve"> to make submissions to </w:t>
      </w:r>
      <w:r w:rsidR="008122C5">
        <w:rPr>
          <w:lang w:val="en-US"/>
        </w:rPr>
        <w:t xml:space="preserve">human </w:t>
      </w:r>
      <w:r w:rsidR="002338D8">
        <w:rPr>
          <w:lang w:val="en-US"/>
        </w:rPr>
        <w:t xml:space="preserve">(HREC) </w:t>
      </w:r>
      <w:r w:rsidR="008122C5">
        <w:rPr>
          <w:lang w:val="en-US"/>
        </w:rPr>
        <w:t xml:space="preserve">or animal </w:t>
      </w:r>
      <w:r w:rsidR="002338D8">
        <w:rPr>
          <w:lang w:val="en-US"/>
        </w:rPr>
        <w:t xml:space="preserve">(AEC) </w:t>
      </w:r>
      <w:r w:rsidR="008122C5">
        <w:rPr>
          <w:lang w:val="en-US"/>
        </w:rPr>
        <w:t xml:space="preserve">research ethics committees in their faculties, as outlined in the relevant policies. This document should </w:t>
      </w:r>
      <w:r w:rsidR="002338D8">
        <w:rPr>
          <w:lang w:val="en-US"/>
        </w:rPr>
        <w:t xml:space="preserve">therefore </w:t>
      </w:r>
      <w:r w:rsidR="008122C5">
        <w:rPr>
          <w:lang w:val="en-US"/>
        </w:rPr>
        <w:t>be seen as complementary to Faculty polices related to human or animal research ethics.</w:t>
      </w:r>
    </w:p>
    <w:p w14:paraId="4C7309E0" w14:textId="77777777" w:rsidR="00704BCE" w:rsidRDefault="00704BCE" w:rsidP="00FA2B05">
      <w:pPr>
        <w:pStyle w:val="NoSpacing"/>
        <w:rPr>
          <w:lang w:val="en-US"/>
        </w:rPr>
      </w:pPr>
    </w:p>
    <w:p w14:paraId="1BA6787A" w14:textId="7A6281C4" w:rsidR="00EB7CC8" w:rsidRPr="007F1B68" w:rsidRDefault="00EB7CC8" w:rsidP="00EB7CC8">
      <w:pPr>
        <w:pStyle w:val="NoSpacing"/>
        <w:rPr>
          <w:i/>
          <w:iCs/>
          <w:lang w:val="en-US"/>
        </w:rPr>
      </w:pPr>
      <w:r>
        <w:rPr>
          <w:i/>
          <w:iCs/>
          <w:lang w:val="en-US"/>
        </w:rPr>
        <w:t>Disclaimer: The IBC, along with all ethics committees</w:t>
      </w:r>
      <w:r w:rsidR="002338D8">
        <w:rPr>
          <w:i/>
          <w:iCs/>
          <w:lang w:val="en-US"/>
        </w:rPr>
        <w:t>,</w:t>
      </w:r>
      <w:r>
        <w:rPr>
          <w:i/>
          <w:iCs/>
          <w:lang w:val="en-US"/>
        </w:rPr>
        <w:t xml:space="preserve"> are in the process of moving to the institutional electronic Research Administration (eRA) system</w:t>
      </w:r>
      <w:r w:rsidR="002338D8">
        <w:rPr>
          <w:i/>
          <w:iCs/>
          <w:lang w:val="en-US"/>
        </w:rPr>
        <w:t>;</w:t>
      </w:r>
      <w:r>
        <w:rPr>
          <w:i/>
          <w:iCs/>
          <w:lang w:val="en-US"/>
        </w:rPr>
        <w:t xml:space="preserve"> as this process occurs, this document will require further review and amendment.</w:t>
      </w:r>
    </w:p>
    <w:p w14:paraId="2C593555" w14:textId="77777777" w:rsidR="00DA1DE4" w:rsidRDefault="00DA1DE4" w:rsidP="00FA2B05">
      <w:pPr>
        <w:pStyle w:val="NoSpacing"/>
        <w:rPr>
          <w:lang w:val="en-US"/>
        </w:rPr>
      </w:pPr>
    </w:p>
    <w:p w14:paraId="0532757F" w14:textId="77777777" w:rsidR="00704BCE" w:rsidRDefault="00704BCE" w:rsidP="00FA2B05">
      <w:pPr>
        <w:pStyle w:val="NoSpacing"/>
        <w:rPr>
          <w:lang w:val="en-US"/>
        </w:rPr>
      </w:pPr>
    </w:p>
    <w:p w14:paraId="71B69B01" w14:textId="2C9A0607" w:rsidR="00DA1DE4" w:rsidRDefault="00DA1DE4" w:rsidP="00C772AB">
      <w:pPr>
        <w:pStyle w:val="Heading1"/>
        <w:rPr>
          <w:lang w:val="en-US"/>
        </w:rPr>
      </w:pPr>
      <w:bookmarkStart w:id="4" w:name="_Toc159227228"/>
      <w:r>
        <w:rPr>
          <w:lang w:val="en-US"/>
        </w:rPr>
        <w:t>IBC servicing and administration</w:t>
      </w:r>
      <w:bookmarkEnd w:id="4"/>
    </w:p>
    <w:p w14:paraId="76B8B879" w14:textId="3DAD472E" w:rsidR="00DA1DE4" w:rsidRDefault="00DA1DE4" w:rsidP="00FA2B05">
      <w:pPr>
        <w:pStyle w:val="NoSpacing"/>
        <w:rPr>
          <w:lang w:val="en-US"/>
        </w:rPr>
      </w:pPr>
      <w:r>
        <w:rPr>
          <w:lang w:val="en-US"/>
        </w:rPr>
        <w:t>The IBC is serviced, administered, and supported by the Office of Research Integrity</w:t>
      </w:r>
      <w:r w:rsidR="00D222D1">
        <w:rPr>
          <w:lang w:val="en-US"/>
        </w:rPr>
        <w:t xml:space="preserve"> (ORI)</w:t>
      </w:r>
      <w:r>
        <w:rPr>
          <w:lang w:val="en-US"/>
        </w:rPr>
        <w:t xml:space="preserve">. </w:t>
      </w:r>
      <w:r w:rsidR="002338D8">
        <w:rPr>
          <w:lang w:val="en-US"/>
        </w:rPr>
        <w:t>T</w:t>
      </w:r>
      <w:r>
        <w:rPr>
          <w:lang w:val="en-US"/>
        </w:rPr>
        <w:t xml:space="preserve">he Senior Administrative Officer: Animal and Biosafety Compliance </w:t>
      </w:r>
      <w:r w:rsidR="002338D8">
        <w:rPr>
          <w:lang w:val="en-US"/>
        </w:rPr>
        <w:t xml:space="preserve">in the ORI </w:t>
      </w:r>
      <w:r>
        <w:rPr>
          <w:lang w:val="en-US"/>
        </w:rPr>
        <w:t>is the lead contact person. However, should this person not be available</w:t>
      </w:r>
      <w:r w:rsidR="002338D8">
        <w:rPr>
          <w:lang w:val="en-US"/>
        </w:rPr>
        <w:t>,</w:t>
      </w:r>
      <w:r>
        <w:rPr>
          <w:lang w:val="en-US"/>
        </w:rPr>
        <w:t xml:space="preserve"> additional support is provided by the Office of Research Integrity: Servicing and Compliance team.</w:t>
      </w:r>
    </w:p>
    <w:p w14:paraId="315EAA64" w14:textId="77777777" w:rsidR="00D222D1" w:rsidRDefault="00D222D1" w:rsidP="00FA2B05">
      <w:pPr>
        <w:pStyle w:val="NoSpacing"/>
        <w:rPr>
          <w:lang w:val="en-US"/>
        </w:rPr>
      </w:pPr>
    </w:p>
    <w:p w14:paraId="0F0C465D" w14:textId="79FBECE0" w:rsidR="00D222D1" w:rsidRDefault="00D222D1" w:rsidP="00FA2B05">
      <w:pPr>
        <w:pStyle w:val="NoSpacing"/>
        <w:rPr>
          <w:lang w:val="en-US"/>
        </w:rPr>
      </w:pPr>
      <w:r>
        <w:rPr>
          <w:lang w:val="en-US"/>
        </w:rPr>
        <w:t xml:space="preserve">The IBC website can be accessed </w:t>
      </w:r>
      <w:hyperlink r:id="rId11" w:history="1">
        <w:r w:rsidRPr="00D222D1">
          <w:rPr>
            <w:rStyle w:val="Hyperlink"/>
            <w:lang w:val="en-US"/>
          </w:rPr>
          <w:t>here</w:t>
        </w:r>
      </w:hyperlink>
      <w:r>
        <w:rPr>
          <w:lang w:val="en-US"/>
        </w:rPr>
        <w:t>.</w:t>
      </w:r>
    </w:p>
    <w:p w14:paraId="1E0A8FFD" w14:textId="77777777" w:rsidR="00DA1DE4" w:rsidRDefault="00DA1DE4" w:rsidP="00FA2B05">
      <w:pPr>
        <w:pStyle w:val="NoSpacing"/>
        <w:rPr>
          <w:lang w:val="en-US"/>
        </w:rPr>
      </w:pPr>
    </w:p>
    <w:p w14:paraId="148DC4CD" w14:textId="77777777" w:rsidR="0055094C" w:rsidRDefault="0055094C" w:rsidP="00FA2B05">
      <w:pPr>
        <w:pStyle w:val="NoSpacing"/>
        <w:rPr>
          <w:lang w:val="en-US"/>
        </w:rPr>
      </w:pPr>
    </w:p>
    <w:p w14:paraId="258E4195" w14:textId="49B35304" w:rsidR="004F6D91" w:rsidRDefault="004F6D91" w:rsidP="00C772AB">
      <w:pPr>
        <w:pStyle w:val="Heading1"/>
        <w:rPr>
          <w:lang w:val="en-US"/>
        </w:rPr>
      </w:pPr>
      <w:bookmarkStart w:id="5" w:name="_Submission_procedures"/>
      <w:bookmarkStart w:id="6" w:name="_Toc159227229"/>
      <w:bookmarkEnd w:id="5"/>
      <w:r>
        <w:rPr>
          <w:lang w:val="en-US"/>
        </w:rPr>
        <w:t>Submission procedures</w:t>
      </w:r>
      <w:bookmarkEnd w:id="6"/>
    </w:p>
    <w:p w14:paraId="20059F8E" w14:textId="7A5F24D2" w:rsidR="004F6D91" w:rsidRDefault="00472E56" w:rsidP="00FA2B05">
      <w:pPr>
        <w:pStyle w:val="NoSpacing"/>
        <w:rPr>
          <w:i/>
          <w:iCs/>
          <w:lang w:val="en-US"/>
        </w:rPr>
      </w:pPr>
      <w:r w:rsidRPr="007F1B68">
        <w:rPr>
          <w:i/>
          <w:iCs/>
          <w:lang w:val="en-US"/>
        </w:rPr>
        <w:t xml:space="preserve">[This section should be read in conjunction with the </w:t>
      </w:r>
      <w:hyperlink r:id="rId12" w:history="1">
        <w:r w:rsidRPr="007F1B68">
          <w:rPr>
            <w:rStyle w:val="Hyperlink"/>
            <w:i/>
            <w:iCs/>
            <w:lang w:val="en-US"/>
          </w:rPr>
          <w:t>IBC Policy on Review of Research Protocols submitted to the IBC</w:t>
        </w:r>
      </w:hyperlink>
      <w:r w:rsidRPr="007F1B68">
        <w:rPr>
          <w:i/>
          <w:iCs/>
          <w:lang w:val="en-US"/>
        </w:rPr>
        <w:t>]</w:t>
      </w:r>
    </w:p>
    <w:p w14:paraId="5FF282A6" w14:textId="77777777" w:rsidR="007F1B68" w:rsidRDefault="007F1B68" w:rsidP="00FA2B05">
      <w:pPr>
        <w:pStyle w:val="NoSpacing"/>
        <w:rPr>
          <w:lang w:val="en-US"/>
        </w:rPr>
      </w:pPr>
    </w:p>
    <w:p w14:paraId="5626A0DD" w14:textId="292B12C2" w:rsidR="00E459AA" w:rsidRDefault="007F1B68" w:rsidP="00EB7CC8">
      <w:pPr>
        <w:pStyle w:val="NoSpacing"/>
        <w:numPr>
          <w:ilvl w:val="0"/>
          <w:numId w:val="4"/>
        </w:numPr>
        <w:rPr>
          <w:lang w:val="en-US"/>
        </w:rPr>
      </w:pPr>
      <w:r>
        <w:rPr>
          <w:lang w:val="en-US"/>
        </w:rPr>
        <w:t xml:space="preserve">All research protocols requiring biosafety review and approval </w:t>
      </w:r>
      <w:r w:rsidR="002338D8">
        <w:rPr>
          <w:lang w:val="en-US"/>
        </w:rPr>
        <w:t xml:space="preserve">must </w:t>
      </w:r>
      <w:r>
        <w:rPr>
          <w:lang w:val="en-US"/>
        </w:rPr>
        <w:t xml:space="preserve">first be submitted to the Faculty Biosafety Committee (FBC) in which the principal investigator (PI) is based. </w:t>
      </w:r>
    </w:p>
    <w:p w14:paraId="56A38E50" w14:textId="4F3401AC" w:rsidR="00E459AA" w:rsidRDefault="00EB7CC8" w:rsidP="00E459AA">
      <w:pPr>
        <w:pStyle w:val="NoSpacing"/>
        <w:numPr>
          <w:ilvl w:val="1"/>
          <w:numId w:val="4"/>
        </w:numPr>
        <w:rPr>
          <w:lang w:val="en-US"/>
        </w:rPr>
      </w:pPr>
      <w:r>
        <w:rPr>
          <w:lang w:val="en-US"/>
        </w:rPr>
        <w:t>If the PI is based in the Faculty of Engineering and the Built Environment</w:t>
      </w:r>
      <w:r w:rsidR="00704BCE">
        <w:rPr>
          <w:lang w:val="en-US"/>
        </w:rPr>
        <w:t xml:space="preserve"> (EBE)</w:t>
      </w:r>
      <w:r>
        <w:rPr>
          <w:lang w:val="en-US"/>
        </w:rPr>
        <w:t xml:space="preserve">, they </w:t>
      </w:r>
      <w:r w:rsidR="002338D8">
        <w:rPr>
          <w:lang w:val="en-US"/>
        </w:rPr>
        <w:t>must</w:t>
      </w:r>
      <w:r>
        <w:rPr>
          <w:lang w:val="en-US"/>
        </w:rPr>
        <w:t xml:space="preserve"> make a submission to the Faculty of Science Biosafety Committee. </w:t>
      </w:r>
    </w:p>
    <w:p w14:paraId="28E04EC0" w14:textId="23354370" w:rsidR="00E459AA" w:rsidRDefault="00704BCE" w:rsidP="00E459AA">
      <w:pPr>
        <w:pStyle w:val="NoSpacing"/>
        <w:numPr>
          <w:ilvl w:val="1"/>
          <w:numId w:val="4"/>
        </w:numPr>
        <w:rPr>
          <w:lang w:val="en-US"/>
        </w:rPr>
      </w:pPr>
      <w:r>
        <w:rPr>
          <w:lang w:val="en-US"/>
        </w:rPr>
        <w:t xml:space="preserve">PIs </w:t>
      </w:r>
      <w:r w:rsidR="002338D8">
        <w:rPr>
          <w:lang w:val="en-US"/>
        </w:rPr>
        <w:t xml:space="preserve">based </w:t>
      </w:r>
      <w:r>
        <w:rPr>
          <w:lang w:val="en-US"/>
        </w:rPr>
        <w:t>in the Faculty of Science are required to make submissions to the Faculty of Science FBC</w:t>
      </w:r>
      <w:r w:rsidR="00E459AA">
        <w:rPr>
          <w:lang w:val="en-US"/>
        </w:rPr>
        <w:t>.</w:t>
      </w:r>
    </w:p>
    <w:p w14:paraId="7CEB6687" w14:textId="30583DF9" w:rsidR="00FA2B05" w:rsidRDefault="00704BCE" w:rsidP="00E459AA">
      <w:pPr>
        <w:pStyle w:val="NoSpacing"/>
        <w:numPr>
          <w:ilvl w:val="1"/>
          <w:numId w:val="4"/>
        </w:numPr>
        <w:rPr>
          <w:lang w:val="en-US"/>
        </w:rPr>
      </w:pPr>
      <w:r>
        <w:rPr>
          <w:lang w:val="en-US"/>
        </w:rPr>
        <w:t>PIs based in the Faculty of Health Sciences are required to make submissions to the Faculty of Health Sciences FBC.</w:t>
      </w:r>
    </w:p>
    <w:p w14:paraId="6513958F" w14:textId="1AFD744E" w:rsidR="00EB7CC8" w:rsidRDefault="002338D8" w:rsidP="00EB7CC8">
      <w:pPr>
        <w:pStyle w:val="NoSpacing"/>
        <w:numPr>
          <w:ilvl w:val="0"/>
          <w:numId w:val="4"/>
        </w:numPr>
        <w:rPr>
          <w:lang w:val="en-US"/>
        </w:rPr>
      </w:pPr>
      <w:r>
        <w:rPr>
          <w:lang w:val="en-US"/>
        </w:rPr>
        <w:lastRenderedPageBreak/>
        <w:t>Where, according to the IBC policy,</w:t>
      </w:r>
      <w:r w:rsidDel="002338D8">
        <w:rPr>
          <w:lang w:val="en-US"/>
        </w:rPr>
        <w:t xml:space="preserve"> </w:t>
      </w:r>
      <w:r w:rsidR="00EB7CC8">
        <w:rPr>
          <w:lang w:val="en-US"/>
        </w:rPr>
        <w:t>a project requires review and approval by the IBC</w:t>
      </w:r>
      <w:r>
        <w:rPr>
          <w:lang w:val="en-US"/>
        </w:rPr>
        <w:t>,</w:t>
      </w:r>
      <w:r w:rsidR="00EB7CC8">
        <w:rPr>
          <w:lang w:val="en-US"/>
        </w:rPr>
        <w:t xml:space="preserve"> </w:t>
      </w:r>
      <w:r>
        <w:rPr>
          <w:lang w:val="en-US"/>
        </w:rPr>
        <w:t xml:space="preserve">the FBC </w:t>
      </w:r>
      <w:r w:rsidR="00EB7CC8">
        <w:rPr>
          <w:lang w:val="en-US"/>
        </w:rPr>
        <w:t xml:space="preserve">will escalate </w:t>
      </w:r>
      <w:r>
        <w:rPr>
          <w:lang w:val="en-US"/>
        </w:rPr>
        <w:t xml:space="preserve">the research protocol </w:t>
      </w:r>
      <w:r w:rsidR="00EB7CC8">
        <w:rPr>
          <w:lang w:val="en-US"/>
        </w:rPr>
        <w:t xml:space="preserve">to the </w:t>
      </w:r>
      <w:r w:rsidR="00704BCE">
        <w:rPr>
          <w:lang w:val="en-US"/>
        </w:rPr>
        <w:t>IBC</w:t>
      </w:r>
      <w:r w:rsidR="00E459AA">
        <w:rPr>
          <w:lang w:val="en-US"/>
        </w:rPr>
        <w:t xml:space="preserve"> and notify the PI.</w:t>
      </w:r>
    </w:p>
    <w:p w14:paraId="33181B0D" w14:textId="77777777" w:rsidR="00704BCE" w:rsidRDefault="00704BCE" w:rsidP="003D4E98">
      <w:pPr>
        <w:pStyle w:val="NoSpacing"/>
        <w:rPr>
          <w:lang w:val="en-US"/>
        </w:rPr>
      </w:pPr>
    </w:p>
    <w:p w14:paraId="219FF7E4" w14:textId="168951EB" w:rsidR="003D4E98" w:rsidRDefault="003D4E98" w:rsidP="003D4E98">
      <w:pPr>
        <w:pStyle w:val="NoSpacing"/>
        <w:rPr>
          <w:lang w:val="en-US"/>
        </w:rPr>
      </w:pPr>
      <w:r>
        <w:rPr>
          <w:lang w:val="en-US"/>
        </w:rPr>
        <w:t xml:space="preserve">The following table </w:t>
      </w:r>
      <w:r w:rsidR="002338D8">
        <w:rPr>
          <w:lang w:val="en-US"/>
        </w:rPr>
        <w:t xml:space="preserve">is </w:t>
      </w:r>
      <w:r>
        <w:rPr>
          <w:lang w:val="en-US"/>
        </w:rPr>
        <w:t xml:space="preserve">a limited extract from the </w:t>
      </w:r>
      <w:r w:rsidR="002338D8">
        <w:rPr>
          <w:lang w:val="en-US"/>
        </w:rPr>
        <w:t xml:space="preserve">IBC </w:t>
      </w:r>
      <w:r>
        <w:rPr>
          <w:lang w:val="en-US"/>
        </w:rPr>
        <w:t xml:space="preserve">policy </w:t>
      </w:r>
      <w:r w:rsidR="002338D8">
        <w:rPr>
          <w:lang w:val="en-US"/>
        </w:rPr>
        <w:t xml:space="preserve">mentioned </w:t>
      </w:r>
      <w:r w:rsidR="00026F81">
        <w:rPr>
          <w:lang w:val="en-US"/>
        </w:rPr>
        <w:t>above and</w:t>
      </w:r>
      <w:r w:rsidR="002338D8">
        <w:rPr>
          <w:lang w:val="en-US"/>
        </w:rPr>
        <w:t xml:space="preserve"> is included here to </w:t>
      </w:r>
      <w:r w:rsidR="00912EEF">
        <w:rPr>
          <w:lang w:val="en-US"/>
        </w:rPr>
        <w:t>illustrate</w:t>
      </w:r>
      <w:r w:rsidR="002338D8">
        <w:rPr>
          <w:lang w:val="en-US"/>
        </w:rPr>
        <w:t xml:space="preserve"> the </w:t>
      </w:r>
      <w:r w:rsidR="00912EEF">
        <w:rPr>
          <w:lang w:val="en-US"/>
        </w:rPr>
        <w:t xml:space="preserve">criteria applied in </w:t>
      </w:r>
      <w:r>
        <w:rPr>
          <w:lang w:val="en-US"/>
        </w:rPr>
        <w:t>determin</w:t>
      </w:r>
      <w:r w:rsidR="00912EEF">
        <w:rPr>
          <w:lang w:val="en-US"/>
        </w:rPr>
        <w:t>ing the</w:t>
      </w:r>
      <w:r>
        <w:rPr>
          <w:lang w:val="en-US"/>
        </w:rPr>
        <w:t xml:space="preserve"> </w:t>
      </w:r>
      <w:r w:rsidR="00912EEF">
        <w:rPr>
          <w:lang w:val="en-US"/>
        </w:rPr>
        <w:t xml:space="preserve">potential requirement for the </w:t>
      </w:r>
      <w:r>
        <w:rPr>
          <w:lang w:val="en-US"/>
        </w:rPr>
        <w:t xml:space="preserve">escalation of </w:t>
      </w:r>
      <w:r w:rsidR="00912EEF">
        <w:rPr>
          <w:lang w:val="en-US"/>
        </w:rPr>
        <w:t xml:space="preserve">a </w:t>
      </w:r>
      <w:r>
        <w:rPr>
          <w:lang w:val="en-US"/>
        </w:rPr>
        <w:t>research protocol.</w:t>
      </w:r>
      <w:r w:rsidR="005451B8">
        <w:rPr>
          <w:lang w:val="en-US"/>
        </w:rPr>
        <w:t xml:space="preserve"> Please consult the </w:t>
      </w:r>
      <w:hyperlink r:id="rId13" w:history="1">
        <w:r w:rsidR="00912EEF" w:rsidRPr="00026F81">
          <w:rPr>
            <w:rStyle w:val="Hyperlink"/>
            <w:lang w:val="en-US"/>
          </w:rPr>
          <w:t xml:space="preserve">IBC </w:t>
        </w:r>
        <w:r w:rsidR="005451B8" w:rsidRPr="00026F81">
          <w:rPr>
            <w:rStyle w:val="Hyperlink"/>
            <w:lang w:val="en-US"/>
          </w:rPr>
          <w:t xml:space="preserve">policy </w:t>
        </w:r>
        <w:r w:rsidR="00912EEF" w:rsidRPr="00026F81">
          <w:rPr>
            <w:rStyle w:val="Hyperlink"/>
            <w:lang w:val="en-US"/>
          </w:rPr>
          <w:t xml:space="preserve">document </w:t>
        </w:r>
      </w:hyperlink>
      <w:r w:rsidR="005451B8">
        <w:rPr>
          <w:lang w:val="en-US"/>
        </w:rPr>
        <w:t>for full information.</w:t>
      </w:r>
    </w:p>
    <w:p w14:paraId="1CC902D2" w14:textId="77777777" w:rsidR="00802580" w:rsidRDefault="00802580" w:rsidP="003D4E98">
      <w:pPr>
        <w:pStyle w:val="NoSpacing"/>
        <w:rPr>
          <w:lang w:val="en-US"/>
        </w:rPr>
      </w:pPr>
    </w:p>
    <w:tbl>
      <w:tblPr>
        <w:tblStyle w:val="TableGrid"/>
        <w:tblW w:w="0" w:type="auto"/>
        <w:tblLook w:val="04A0" w:firstRow="1" w:lastRow="0" w:firstColumn="1" w:lastColumn="0" w:noHBand="0" w:noVBand="1"/>
      </w:tblPr>
      <w:tblGrid>
        <w:gridCol w:w="2972"/>
        <w:gridCol w:w="6764"/>
      </w:tblGrid>
      <w:tr w:rsidR="00802580" w14:paraId="66EE3229" w14:textId="77777777" w:rsidTr="00802580">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4BC472" w14:textId="77777777" w:rsidR="00802580" w:rsidRDefault="00802580">
            <w:pPr>
              <w:pStyle w:val="NoSpacing"/>
              <w:jc w:val="center"/>
              <w:rPr>
                <w:b/>
                <w:bCs/>
                <w:lang w:val="en-US"/>
              </w:rPr>
            </w:pPr>
            <w:r>
              <w:rPr>
                <w:b/>
                <w:bCs/>
                <w:lang w:val="en-US"/>
              </w:rPr>
              <w:t>Level of Review</w:t>
            </w:r>
          </w:p>
        </w:tc>
        <w:tc>
          <w:tcPr>
            <w:tcW w:w="6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BC0D26" w14:textId="77777777" w:rsidR="00802580" w:rsidRDefault="00802580">
            <w:pPr>
              <w:pStyle w:val="NoSpacing"/>
              <w:jc w:val="center"/>
              <w:rPr>
                <w:b/>
                <w:bCs/>
                <w:lang w:val="en-US"/>
              </w:rPr>
            </w:pPr>
            <w:r>
              <w:rPr>
                <w:b/>
                <w:bCs/>
                <w:lang w:val="en-US"/>
              </w:rPr>
              <w:t>Example of types of research covered</w:t>
            </w:r>
          </w:p>
          <w:p w14:paraId="41514C70" w14:textId="77777777" w:rsidR="00802580" w:rsidRDefault="00802580">
            <w:pPr>
              <w:pStyle w:val="NoSpacing"/>
              <w:jc w:val="center"/>
              <w:rPr>
                <w:b/>
                <w:bCs/>
                <w:lang w:val="en-US"/>
              </w:rPr>
            </w:pPr>
            <w:r>
              <w:rPr>
                <w:b/>
                <w:bCs/>
                <w:lang w:val="en-US"/>
              </w:rPr>
              <w:t>(refer to NIH Guidelines for more detail)</w:t>
            </w:r>
          </w:p>
        </w:tc>
      </w:tr>
      <w:tr w:rsidR="00802580" w14:paraId="36C33AC8" w14:textId="77777777" w:rsidTr="00802580">
        <w:tc>
          <w:tcPr>
            <w:tcW w:w="2972" w:type="dxa"/>
            <w:tcBorders>
              <w:top w:val="single" w:sz="4" w:space="0" w:color="auto"/>
              <w:left w:val="single" w:sz="4" w:space="0" w:color="auto"/>
              <w:bottom w:val="single" w:sz="4" w:space="0" w:color="auto"/>
              <w:right w:val="single" w:sz="4" w:space="0" w:color="auto"/>
            </w:tcBorders>
            <w:vAlign w:val="center"/>
            <w:hideMark/>
          </w:tcPr>
          <w:p w14:paraId="5B07480D" w14:textId="77777777" w:rsidR="00802580" w:rsidRDefault="00802580">
            <w:pPr>
              <w:pStyle w:val="NoSpacing"/>
              <w:jc w:val="left"/>
              <w:rPr>
                <w:lang w:val="en-US"/>
              </w:rPr>
            </w:pPr>
            <w:r>
              <w:rPr>
                <w:lang w:val="en-US"/>
              </w:rPr>
              <w:t>IBC</w:t>
            </w:r>
          </w:p>
        </w:tc>
        <w:tc>
          <w:tcPr>
            <w:tcW w:w="6764" w:type="dxa"/>
            <w:tcBorders>
              <w:top w:val="single" w:sz="4" w:space="0" w:color="auto"/>
              <w:left w:val="single" w:sz="4" w:space="0" w:color="auto"/>
              <w:bottom w:val="single" w:sz="4" w:space="0" w:color="auto"/>
              <w:right w:val="single" w:sz="4" w:space="0" w:color="auto"/>
            </w:tcBorders>
            <w:hideMark/>
          </w:tcPr>
          <w:p w14:paraId="41640FE9" w14:textId="75E407D5" w:rsidR="00802580" w:rsidRDefault="00802580">
            <w:pPr>
              <w:pStyle w:val="NoSpacing"/>
              <w:rPr>
                <w:lang w:val="en-US"/>
              </w:rPr>
            </w:pPr>
            <w:r>
              <w:rPr>
                <w:lang w:val="en-US"/>
              </w:rPr>
              <w:t>Experiments that compromise the control of disease agents in medicine through deliberate transfer of a drug resistance trait.</w:t>
            </w:r>
          </w:p>
        </w:tc>
      </w:tr>
      <w:tr w:rsidR="00802580" w14:paraId="07A7FA06" w14:textId="77777777" w:rsidTr="00802580">
        <w:tc>
          <w:tcPr>
            <w:tcW w:w="2972" w:type="dxa"/>
            <w:tcBorders>
              <w:top w:val="single" w:sz="4" w:space="0" w:color="auto"/>
              <w:left w:val="single" w:sz="4" w:space="0" w:color="auto"/>
              <w:bottom w:val="single" w:sz="4" w:space="0" w:color="auto"/>
              <w:right w:val="single" w:sz="4" w:space="0" w:color="auto"/>
            </w:tcBorders>
            <w:vAlign w:val="center"/>
            <w:hideMark/>
          </w:tcPr>
          <w:p w14:paraId="7AB2DC06" w14:textId="77777777" w:rsidR="00802580" w:rsidRDefault="00802580">
            <w:pPr>
              <w:pStyle w:val="NoSpacing"/>
              <w:jc w:val="left"/>
              <w:rPr>
                <w:lang w:val="en-US"/>
              </w:rPr>
            </w:pPr>
            <w:r>
              <w:rPr>
                <w:lang w:val="en-US"/>
              </w:rPr>
              <w:t>IBC approval and review for containment determinations</w:t>
            </w:r>
          </w:p>
        </w:tc>
        <w:tc>
          <w:tcPr>
            <w:tcW w:w="6764" w:type="dxa"/>
            <w:tcBorders>
              <w:top w:val="single" w:sz="4" w:space="0" w:color="auto"/>
              <w:left w:val="single" w:sz="4" w:space="0" w:color="auto"/>
              <w:bottom w:val="single" w:sz="4" w:space="0" w:color="auto"/>
              <w:right w:val="single" w:sz="4" w:space="0" w:color="auto"/>
            </w:tcBorders>
            <w:hideMark/>
          </w:tcPr>
          <w:p w14:paraId="3AAFDC6C" w14:textId="480D76E1" w:rsidR="00802580" w:rsidRDefault="00802580">
            <w:pPr>
              <w:pStyle w:val="NoSpacing"/>
              <w:rPr>
                <w:lang w:val="en-US"/>
              </w:rPr>
            </w:pPr>
            <w:r>
              <w:rPr>
                <w:lang w:val="en-US"/>
              </w:rPr>
              <w:t>Experiments involving the cloning of toxin molecules with LD50 of less than 100 nanograms per kilogram of body weight.</w:t>
            </w:r>
          </w:p>
        </w:tc>
      </w:tr>
      <w:tr w:rsidR="00802580" w14:paraId="70418A5A" w14:textId="77777777" w:rsidTr="00802580">
        <w:tc>
          <w:tcPr>
            <w:tcW w:w="2972" w:type="dxa"/>
            <w:tcBorders>
              <w:top w:val="single" w:sz="4" w:space="0" w:color="auto"/>
              <w:left w:val="single" w:sz="4" w:space="0" w:color="auto"/>
              <w:bottom w:val="single" w:sz="4" w:space="0" w:color="auto"/>
              <w:right w:val="single" w:sz="4" w:space="0" w:color="auto"/>
            </w:tcBorders>
            <w:vAlign w:val="center"/>
            <w:hideMark/>
          </w:tcPr>
          <w:p w14:paraId="522F630A" w14:textId="77777777" w:rsidR="00802580" w:rsidRDefault="00802580">
            <w:pPr>
              <w:pStyle w:val="NoSpacing"/>
              <w:jc w:val="left"/>
              <w:rPr>
                <w:lang w:val="en-US"/>
              </w:rPr>
            </w:pPr>
            <w:r>
              <w:rPr>
                <w:lang w:val="en-US"/>
              </w:rPr>
              <w:t>IBC and IRB (or HREC) approval and review before research participant enrolment</w:t>
            </w:r>
          </w:p>
        </w:tc>
        <w:tc>
          <w:tcPr>
            <w:tcW w:w="6764" w:type="dxa"/>
            <w:tcBorders>
              <w:top w:val="single" w:sz="4" w:space="0" w:color="auto"/>
              <w:left w:val="single" w:sz="4" w:space="0" w:color="auto"/>
              <w:bottom w:val="single" w:sz="4" w:space="0" w:color="auto"/>
              <w:right w:val="single" w:sz="4" w:space="0" w:color="auto"/>
            </w:tcBorders>
            <w:hideMark/>
          </w:tcPr>
          <w:p w14:paraId="7EF74C92" w14:textId="77777777" w:rsidR="00802580" w:rsidRDefault="00802580">
            <w:pPr>
              <w:pStyle w:val="NoSpacing"/>
              <w:rPr>
                <w:lang w:val="en-US"/>
              </w:rPr>
            </w:pPr>
            <w:r>
              <w:rPr>
                <w:lang w:val="en-US"/>
              </w:rPr>
              <w:t>Experiments involving the deliberate transfer of recombinant or synthetic nucleic acid molecules into human research participants or gene editing of human embryos or participants.</w:t>
            </w:r>
          </w:p>
        </w:tc>
      </w:tr>
      <w:tr w:rsidR="00802580" w14:paraId="7121A4F2" w14:textId="77777777" w:rsidTr="00802580">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D658EB7" w14:textId="77777777" w:rsidR="00802580" w:rsidRDefault="00802580">
            <w:pPr>
              <w:pStyle w:val="NoSpacing"/>
              <w:jc w:val="left"/>
              <w:rPr>
                <w:lang w:val="en-US"/>
              </w:rPr>
            </w:pPr>
            <w:r>
              <w:rPr>
                <w:lang w:val="en-US"/>
              </w:rPr>
              <w:t>IBC approval before initiation</w:t>
            </w:r>
          </w:p>
        </w:tc>
        <w:tc>
          <w:tcPr>
            <w:tcW w:w="6764" w:type="dxa"/>
            <w:tcBorders>
              <w:top w:val="single" w:sz="4" w:space="0" w:color="auto"/>
              <w:left w:val="single" w:sz="4" w:space="0" w:color="auto"/>
              <w:bottom w:val="single" w:sz="4" w:space="0" w:color="auto"/>
              <w:right w:val="single" w:sz="4" w:space="0" w:color="auto"/>
            </w:tcBorders>
            <w:hideMark/>
          </w:tcPr>
          <w:p w14:paraId="3EC45E04" w14:textId="5A59D10A" w:rsidR="009E2935" w:rsidRDefault="00802580">
            <w:pPr>
              <w:pStyle w:val="NoSpacing"/>
              <w:rPr>
                <w:lang w:val="en-US"/>
              </w:rPr>
            </w:pPr>
            <w:r>
              <w:rPr>
                <w:lang w:val="en-US"/>
              </w:rPr>
              <w:t xml:space="preserve">Creating stable germline alterations of a microorganism, animal (insect or </w:t>
            </w:r>
            <w:r w:rsidR="00F77B1F">
              <w:rPr>
                <w:lang w:val="en-US"/>
              </w:rPr>
              <w:t>other s</w:t>
            </w:r>
            <w:r>
              <w:rPr>
                <w:lang w:val="en-US"/>
              </w:rPr>
              <w:t>pec</w:t>
            </w:r>
            <w:r w:rsidR="00F77B1F">
              <w:rPr>
                <w:lang w:val="en-US"/>
              </w:rPr>
              <w:t>i</w:t>
            </w:r>
            <w:r>
              <w:rPr>
                <w:lang w:val="en-US"/>
              </w:rPr>
              <w:t>es) or plant germline</w:t>
            </w:r>
            <w:r w:rsidR="00026F81">
              <w:rPr>
                <w:lang w:val="en-US"/>
              </w:rPr>
              <w:t xml:space="preserve"> </w:t>
            </w:r>
            <w:r>
              <w:rPr>
                <w:lang w:val="en-US"/>
              </w:rPr>
              <w:t>or testing viable recombinant or synthetically modified microorganisms on whole animals or plants where BSL</w:t>
            </w:r>
            <w:r w:rsidR="00912EEF">
              <w:rPr>
                <w:lang w:val="en-US"/>
              </w:rPr>
              <w:t>-</w:t>
            </w:r>
            <w:r>
              <w:rPr>
                <w:lang w:val="en-US"/>
              </w:rPr>
              <w:t>2 containment or greater is necessary</w:t>
            </w:r>
            <w:r w:rsidR="009E2935">
              <w:rPr>
                <w:lang w:val="en-US"/>
              </w:rPr>
              <w:t>.</w:t>
            </w:r>
            <w:r>
              <w:rPr>
                <w:lang w:val="en-US"/>
              </w:rPr>
              <w:t xml:space="preserve"> </w:t>
            </w:r>
            <w:r w:rsidR="009E2935">
              <w:rPr>
                <w:lang w:val="en-US"/>
              </w:rPr>
              <w:t>T</w:t>
            </w:r>
            <w:r>
              <w:rPr>
                <w:lang w:val="en-US"/>
              </w:rPr>
              <w:t>his includes gene editing</w:t>
            </w:r>
            <w:r w:rsidR="00912EEF">
              <w:rPr>
                <w:lang w:val="en-US"/>
              </w:rPr>
              <w:t>.</w:t>
            </w:r>
            <w:r>
              <w:rPr>
                <w:lang w:val="en-US"/>
              </w:rPr>
              <w:t xml:space="preserve"> </w:t>
            </w:r>
          </w:p>
          <w:p w14:paraId="5C20CB3C" w14:textId="4C1E3AD8" w:rsidR="00802580" w:rsidRDefault="00802580">
            <w:pPr>
              <w:pStyle w:val="NoSpacing"/>
              <w:rPr>
                <w:lang w:val="en-US"/>
              </w:rPr>
            </w:pPr>
            <w:r>
              <w:rPr>
                <w:lang w:val="en-US"/>
              </w:rPr>
              <w:t>GMO work involving biological agents of risk group 2 or above and/or requiring BSL-2 containment or above. GMO work involving culture volumes greater than 10L.</w:t>
            </w:r>
          </w:p>
        </w:tc>
      </w:tr>
      <w:tr w:rsidR="00802580" w14:paraId="0BD03B63" w14:textId="77777777" w:rsidTr="00802580">
        <w:tc>
          <w:tcPr>
            <w:tcW w:w="0" w:type="auto"/>
            <w:vMerge/>
            <w:tcBorders>
              <w:top w:val="single" w:sz="4" w:space="0" w:color="auto"/>
              <w:left w:val="single" w:sz="4" w:space="0" w:color="auto"/>
              <w:bottom w:val="single" w:sz="4" w:space="0" w:color="auto"/>
              <w:right w:val="single" w:sz="4" w:space="0" w:color="auto"/>
            </w:tcBorders>
            <w:vAlign w:val="center"/>
            <w:hideMark/>
          </w:tcPr>
          <w:p w14:paraId="32C1C430" w14:textId="77777777" w:rsidR="00802580" w:rsidRDefault="00802580">
            <w:pPr>
              <w:rPr>
                <w:kern w:val="2"/>
                <w:szCs w:val="24"/>
                <w:lang w:val="en-US"/>
                <w14:ligatures w14:val="standardContextual"/>
              </w:rPr>
            </w:pPr>
          </w:p>
        </w:tc>
        <w:tc>
          <w:tcPr>
            <w:tcW w:w="6764" w:type="dxa"/>
            <w:tcBorders>
              <w:top w:val="single" w:sz="4" w:space="0" w:color="auto"/>
              <w:left w:val="single" w:sz="4" w:space="0" w:color="auto"/>
              <w:bottom w:val="single" w:sz="4" w:space="0" w:color="auto"/>
              <w:right w:val="single" w:sz="4" w:space="0" w:color="auto"/>
            </w:tcBorders>
            <w:hideMark/>
          </w:tcPr>
          <w:p w14:paraId="4E902B0C" w14:textId="4796835C" w:rsidR="00802580" w:rsidRDefault="00802580">
            <w:pPr>
              <w:pStyle w:val="NoSpacing"/>
              <w:rPr>
                <w:lang w:val="en-US"/>
              </w:rPr>
            </w:pPr>
            <w:r>
              <w:rPr>
                <w:lang w:val="en-US"/>
              </w:rPr>
              <w:t>Release into the environment of any potentially hazardous biological agents (pHBAs).</w:t>
            </w:r>
          </w:p>
        </w:tc>
      </w:tr>
      <w:tr w:rsidR="00802580" w14:paraId="044A630A" w14:textId="77777777" w:rsidTr="00802580">
        <w:tc>
          <w:tcPr>
            <w:tcW w:w="0" w:type="auto"/>
            <w:vMerge/>
            <w:tcBorders>
              <w:top w:val="single" w:sz="4" w:space="0" w:color="auto"/>
              <w:left w:val="single" w:sz="4" w:space="0" w:color="auto"/>
              <w:bottom w:val="single" w:sz="4" w:space="0" w:color="auto"/>
              <w:right w:val="single" w:sz="4" w:space="0" w:color="auto"/>
            </w:tcBorders>
            <w:vAlign w:val="center"/>
            <w:hideMark/>
          </w:tcPr>
          <w:p w14:paraId="4E82F824" w14:textId="77777777" w:rsidR="00802580" w:rsidRDefault="00802580">
            <w:pPr>
              <w:rPr>
                <w:kern w:val="2"/>
                <w:szCs w:val="24"/>
                <w:lang w:val="en-US"/>
                <w14:ligatures w14:val="standardContextual"/>
              </w:rPr>
            </w:pPr>
          </w:p>
        </w:tc>
        <w:tc>
          <w:tcPr>
            <w:tcW w:w="6764" w:type="dxa"/>
            <w:tcBorders>
              <w:top w:val="single" w:sz="4" w:space="0" w:color="auto"/>
              <w:left w:val="single" w:sz="4" w:space="0" w:color="auto"/>
              <w:bottom w:val="single" w:sz="4" w:space="0" w:color="auto"/>
              <w:right w:val="single" w:sz="4" w:space="0" w:color="auto"/>
            </w:tcBorders>
            <w:hideMark/>
          </w:tcPr>
          <w:p w14:paraId="1176593E" w14:textId="5DE64166" w:rsidR="00802580" w:rsidRDefault="00802580">
            <w:pPr>
              <w:pStyle w:val="NoSpacing"/>
              <w:rPr>
                <w:lang w:val="en-US"/>
              </w:rPr>
            </w:pPr>
            <w:r>
              <w:rPr>
                <w:lang w:val="en-US"/>
              </w:rPr>
              <w:t xml:space="preserve">Any research involving pHBAs </w:t>
            </w:r>
            <w:r w:rsidR="00912EEF">
              <w:rPr>
                <w:lang w:val="en-US"/>
              </w:rPr>
              <w:t xml:space="preserve">under </w:t>
            </w:r>
            <w:r>
              <w:rPr>
                <w:lang w:val="en-US"/>
              </w:rPr>
              <w:t>BSL</w:t>
            </w:r>
            <w:r w:rsidR="00912EEF">
              <w:rPr>
                <w:lang w:val="en-US"/>
              </w:rPr>
              <w:t>-</w:t>
            </w:r>
            <w:r>
              <w:rPr>
                <w:lang w:val="en-US"/>
              </w:rPr>
              <w:t>3</w:t>
            </w:r>
            <w:r w:rsidR="00912EEF">
              <w:rPr>
                <w:lang w:val="en-US"/>
              </w:rPr>
              <w:t xml:space="preserve"> containment</w:t>
            </w:r>
            <w:r>
              <w:rPr>
                <w:lang w:val="en-US"/>
              </w:rPr>
              <w:t>.</w:t>
            </w:r>
          </w:p>
        </w:tc>
      </w:tr>
      <w:tr w:rsidR="00802580" w14:paraId="2743E5FE" w14:textId="77777777" w:rsidTr="00802580">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34C61CFF" w14:textId="77777777" w:rsidR="00802580" w:rsidRDefault="00802580">
            <w:pPr>
              <w:pStyle w:val="NoSpacing"/>
              <w:jc w:val="left"/>
              <w:rPr>
                <w:lang w:val="en-US"/>
              </w:rPr>
            </w:pPr>
            <w:r>
              <w:rPr>
                <w:lang w:val="en-US"/>
              </w:rPr>
              <w:t>FBC approval and recorded at IBC</w:t>
            </w:r>
          </w:p>
        </w:tc>
        <w:tc>
          <w:tcPr>
            <w:tcW w:w="6764" w:type="dxa"/>
            <w:tcBorders>
              <w:top w:val="single" w:sz="4" w:space="0" w:color="auto"/>
              <w:left w:val="single" w:sz="4" w:space="0" w:color="auto"/>
              <w:bottom w:val="single" w:sz="4" w:space="0" w:color="auto"/>
              <w:right w:val="single" w:sz="4" w:space="0" w:color="auto"/>
            </w:tcBorders>
            <w:hideMark/>
          </w:tcPr>
          <w:p w14:paraId="2F533C7A" w14:textId="0BF6E150" w:rsidR="00802580" w:rsidRDefault="00802580">
            <w:pPr>
              <w:pStyle w:val="NoSpacing"/>
              <w:rPr>
                <w:lang w:val="en-US"/>
              </w:rPr>
            </w:pPr>
            <w:r>
              <w:rPr>
                <w:lang w:val="en-US"/>
              </w:rPr>
              <w:t xml:space="preserve">Creating stable germline alterations of microorganisms, animals (insect or </w:t>
            </w:r>
            <w:r w:rsidR="00F77B1F">
              <w:rPr>
                <w:lang w:val="en-US"/>
              </w:rPr>
              <w:t>other species</w:t>
            </w:r>
            <w:r w:rsidR="00906CAA">
              <w:rPr>
                <w:lang w:val="en-US"/>
              </w:rPr>
              <w:t>)</w:t>
            </w:r>
            <w:r w:rsidR="009E2935">
              <w:rPr>
                <w:lang w:val="en-US"/>
              </w:rPr>
              <w:t>,</w:t>
            </w:r>
            <w:r>
              <w:rPr>
                <w:lang w:val="en-US"/>
              </w:rPr>
              <w:t xml:space="preserve"> or plants by introduction of recombinant or synthetically modified nucleic acid molecules when these experiments require BSL-1 containment. This includes gene editing.</w:t>
            </w:r>
          </w:p>
        </w:tc>
      </w:tr>
      <w:tr w:rsidR="00802580" w14:paraId="7CDDC44C" w14:textId="77777777" w:rsidTr="00802580">
        <w:tc>
          <w:tcPr>
            <w:tcW w:w="0" w:type="auto"/>
            <w:vMerge/>
            <w:tcBorders>
              <w:top w:val="single" w:sz="4" w:space="0" w:color="auto"/>
              <w:left w:val="single" w:sz="4" w:space="0" w:color="auto"/>
              <w:bottom w:val="single" w:sz="4" w:space="0" w:color="auto"/>
              <w:right w:val="single" w:sz="4" w:space="0" w:color="auto"/>
            </w:tcBorders>
            <w:vAlign w:val="center"/>
            <w:hideMark/>
          </w:tcPr>
          <w:p w14:paraId="72DB1AA9" w14:textId="77777777" w:rsidR="00802580" w:rsidRDefault="00802580">
            <w:pPr>
              <w:rPr>
                <w:kern w:val="2"/>
                <w:szCs w:val="24"/>
                <w:lang w:val="en-US"/>
                <w14:ligatures w14:val="standardContextual"/>
              </w:rPr>
            </w:pPr>
          </w:p>
        </w:tc>
        <w:tc>
          <w:tcPr>
            <w:tcW w:w="6764" w:type="dxa"/>
            <w:tcBorders>
              <w:top w:val="single" w:sz="4" w:space="0" w:color="auto"/>
              <w:left w:val="single" w:sz="4" w:space="0" w:color="auto"/>
              <w:bottom w:val="single" w:sz="4" w:space="0" w:color="auto"/>
              <w:right w:val="single" w:sz="4" w:space="0" w:color="auto"/>
            </w:tcBorders>
            <w:hideMark/>
          </w:tcPr>
          <w:p w14:paraId="5A9AB9FB" w14:textId="55C92054" w:rsidR="00802580" w:rsidRDefault="00802580">
            <w:pPr>
              <w:pStyle w:val="NoSpacing"/>
              <w:rPr>
                <w:lang w:val="en-US"/>
              </w:rPr>
            </w:pPr>
            <w:r>
              <w:rPr>
                <w:lang w:val="en-US"/>
              </w:rPr>
              <w:t>Purchase or transfer of transgenic rodent</w:t>
            </w:r>
            <w:r w:rsidR="009E2935">
              <w:rPr>
                <w:lang w:val="en-US"/>
              </w:rPr>
              <w:t>s</w:t>
            </w:r>
            <w:r>
              <w:rPr>
                <w:lang w:val="en-US"/>
              </w:rPr>
              <w:t>. GMO work involving biological agents of risk group 1 where BSL-1 containment is sufficient.</w:t>
            </w:r>
          </w:p>
        </w:tc>
      </w:tr>
      <w:tr w:rsidR="00802580" w14:paraId="32738928" w14:textId="77777777" w:rsidTr="00802580">
        <w:tc>
          <w:tcPr>
            <w:tcW w:w="0" w:type="auto"/>
            <w:vMerge/>
            <w:tcBorders>
              <w:top w:val="single" w:sz="4" w:space="0" w:color="auto"/>
              <w:left w:val="single" w:sz="4" w:space="0" w:color="auto"/>
              <w:bottom w:val="single" w:sz="4" w:space="0" w:color="auto"/>
              <w:right w:val="single" w:sz="4" w:space="0" w:color="auto"/>
            </w:tcBorders>
            <w:vAlign w:val="center"/>
            <w:hideMark/>
          </w:tcPr>
          <w:p w14:paraId="62C089F3" w14:textId="77777777" w:rsidR="00802580" w:rsidRDefault="00802580">
            <w:pPr>
              <w:rPr>
                <w:kern w:val="2"/>
                <w:szCs w:val="24"/>
                <w:lang w:val="en-US"/>
                <w14:ligatures w14:val="standardContextual"/>
              </w:rPr>
            </w:pPr>
          </w:p>
        </w:tc>
        <w:tc>
          <w:tcPr>
            <w:tcW w:w="6764" w:type="dxa"/>
            <w:tcBorders>
              <w:top w:val="single" w:sz="4" w:space="0" w:color="auto"/>
              <w:left w:val="single" w:sz="4" w:space="0" w:color="auto"/>
              <w:bottom w:val="single" w:sz="4" w:space="0" w:color="auto"/>
              <w:right w:val="single" w:sz="4" w:space="0" w:color="auto"/>
            </w:tcBorders>
            <w:hideMark/>
          </w:tcPr>
          <w:p w14:paraId="0F791050" w14:textId="4F0943F5" w:rsidR="00802580" w:rsidRDefault="00802580">
            <w:pPr>
              <w:pStyle w:val="NoSpacing"/>
              <w:rPr>
                <w:lang w:val="en-US"/>
              </w:rPr>
            </w:pPr>
            <w:r>
              <w:rPr>
                <w:lang w:val="en-US"/>
              </w:rPr>
              <w:t xml:space="preserve">Research with any </w:t>
            </w:r>
            <w:r w:rsidR="00912EEF">
              <w:rPr>
                <w:lang w:val="en-US"/>
              </w:rPr>
              <w:t>pHBAs</w:t>
            </w:r>
            <w:r>
              <w:rPr>
                <w:lang w:val="en-US"/>
              </w:rPr>
              <w:t xml:space="preserve"> not covered by the NIH guidelines such as unmodified pathogens.</w:t>
            </w:r>
          </w:p>
        </w:tc>
      </w:tr>
      <w:tr w:rsidR="00802580" w14:paraId="73E0959C" w14:textId="77777777" w:rsidTr="00802580">
        <w:tc>
          <w:tcPr>
            <w:tcW w:w="2972" w:type="dxa"/>
            <w:tcBorders>
              <w:top w:val="single" w:sz="4" w:space="0" w:color="auto"/>
              <w:left w:val="single" w:sz="4" w:space="0" w:color="auto"/>
              <w:bottom w:val="single" w:sz="4" w:space="0" w:color="auto"/>
              <w:right w:val="single" w:sz="4" w:space="0" w:color="auto"/>
            </w:tcBorders>
            <w:vAlign w:val="center"/>
            <w:hideMark/>
          </w:tcPr>
          <w:p w14:paraId="156190EF" w14:textId="77777777" w:rsidR="00802580" w:rsidRDefault="00802580">
            <w:pPr>
              <w:pStyle w:val="NoSpacing"/>
              <w:jc w:val="left"/>
              <w:rPr>
                <w:lang w:val="en-US"/>
              </w:rPr>
            </w:pPr>
            <w:r>
              <w:rPr>
                <w:lang w:val="en-US"/>
              </w:rPr>
              <w:t>Approval not required</w:t>
            </w:r>
          </w:p>
        </w:tc>
        <w:tc>
          <w:tcPr>
            <w:tcW w:w="6764" w:type="dxa"/>
            <w:tcBorders>
              <w:top w:val="single" w:sz="4" w:space="0" w:color="auto"/>
              <w:left w:val="single" w:sz="4" w:space="0" w:color="auto"/>
              <w:bottom w:val="single" w:sz="4" w:space="0" w:color="auto"/>
              <w:right w:val="single" w:sz="4" w:space="0" w:color="auto"/>
            </w:tcBorders>
            <w:hideMark/>
          </w:tcPr>
          <w:p w14:paraId="5B01ECA6" w14:textId="016E9FD8" w:rsidR="00802580" w:rsidRDefault="00802580">
            <w:pPr>
              <w:pStyle w:val="NoSpacing"/>
              <w:rPr>
                <w:lang w:val="en-US"/>
              </w:rPr>
            </w:pPr>
            <w:r>
              <w:rPr>
                <w:lang w:val="en-US"/>
              </w:rPr>
              <w:t>Laboratory research involving clinical trials on pHBAs that do not involve GMOs or any BSL</w:t>
            </w:r>
            <w:r w:rsidR="009E2935">
              <w:rPr>
                <w:lang w:val="en-US"/>
              </w:rPr>
              <w:t>-</w:t>
            </w:r>
            <w:r>
              <w:rPr>
                <w:lang w:val="en-US"/>
              </w:rPr>
              <w:t>3 laboratory component at UCT.</w:t>
            </w:r>
          </w:p>
        </w:tc>
      </w:tr>
    </w:tbl>
    <w:p w14:paraId="08B04D30" w14:textId="77777777" w:rsidR="00802580" w:rsidRDefault="00802580" w:rsidP="003D4E98">
      <w:pPr>
        <w:pStyle w:val="NoSpacing"/>
        <w:rPr>
          <w:lang w:val="en-US"/>
        </w:rPr>
      </w:pPr>
    </w:p>
    <w:p w14:paraId="4376DC29" w14:textId="32396C5A" w:rsidR="00EB7CC8" w:rsidRDefault="00EB7CC8" w:rsidP="00D222D1">
      <w:pPr>
        <w:pStyle w:val="Heading2"/>
        <w:numPr>
          <w:ilvl w:val="0"/>
          <w:numId w:val="21"/>
        </w:numPr>
      </w:pPr>
      <w:bookmarkStart w:id="7" w:name="_Toc159227230"/>
      <w:r>
        <w:t>Submission of complete applications</w:t>
      </w:r>
      <w:bookmarkEnd w:id="7"/>
    </w:p>
    <w:p w14:paraId="1C7CC2C3" w14:textId="080096FB" w:rsidR="00EB7CC8" w:rsidRDefault="00DA1DE4" w:rsidP="00FA2B05">
      <w:pPr>
        <w:pStyle w:val="NoSpacing"/>
        <w:rPr>
          <w:lang w:val="en-US"/>
        </w:rPr>
      </w:pPr>
      <w:r>
        <w:rPr>
          <w:lang w:val="en-US"/>
        </w:rPr>
        <w:t xml:space="preserve">The IBC will </w:t>
      </w:r>
      <w:r w:rsidRPr="003D4E98">
        <w:rPr>
          <w:i/>
          <w:iCs/>
          <w:u w:val="single"/>
          <w:lang w:val="en-US"/>
        </w:rPr>
        <w:t>only review complete applications</w:t>
      </w:r>
      <w:r>
        <w:rPr>
          <w:lang w:val="en-US"/>
        </w:rPr>
        <w:t xml:space="preserve">. Complete applications </w:t>
      </w:r>
      <w:r w:rsidR="00382169">
        <w:rPr>
          <w:lang w:val="en-US"/>
        </w:rPr>
        <w:t>are to be provided to the IBC servicing officer within the timeframe for a given meeting (</w:t>
      </w:r>
      <w:hyperlink w:anchor="_Timelines" w:history="1">
        <w:r w:rsidR="00D222D1" w:rsidRPr="00D222D1">
          <w:rPr>
            <w:rStyle w:val="Hyperlink"/>
            <w:lang w:val="en-US"/>
          </w:rPr>
          <w:t>Section 5</w:t>
        </w:r>
      </w:hyperlink>
      <w:r w:rsidR="00382169">
        <w:rPr>
          <w:lang w:val="en-US"/>
        </w:rPr>
        <w:t xml:space="preserve">) and must </w:t>
      </w:r>
      <w:r>
        <w:rPr>
          <w:lang w:val="en-US"/>
        </w:rPr>
        <w:t>consist of the following documentation:</w:t>
      </w:r>
    </w:p>
    <w:p w14:paraId="559ED726" w14:textId="3E1B51C8" w:rsidR="00DA1DE4" w:rsidRDefault="00DA1DE4" w:rsidP="00DA1DE4">
      <w:pPr>
        <w:pStyle w:val="NoSpacing"/>
        <w:numPr>
          <w:ilvl w:val="0"/>
          <w:numId w:val="10"/>
        </w:numPr>
        <w:rPr>
          <w:lang w:val="en-US"/>
        </w:rPr>
      </w:pPr>
      <w:r>
        <w:rPr>
          <w:lang w:val="en-US"/>
        </w:rPr>
        <w:t>The complete research protocol</w:t>
      </w:r>
      <w:r w:rsidR="003D4E98">
        <w:rPr>
          <w:lang w:val="en-US"/>
        </w:rPr>
        <w:t>, on the correct</w:t>
      </w:r>
      <w:r>
        <w:rPr>
          <w:lang w:val="en-US"/>
        </w:rPr>
        <w:t xml:space="preserve"> application form</w:t>
      </w:r>
      <w:r w:rsidR="009E2935">
        <w:rPr>
          <w:lang w:val="en-US"/>
        </w:rPr>
        <w:t xml:space="preserve"> with all necessary approvals/signatures;</w:t>
      </w:r>
    </w:p>
    <w:p w14:paraId="005E8567" w14:textId="0D2D2E7D" w:rsidR="00E459AA" w:rsidRDefault="00E459AA" w:rsidP="00DA1DE4">
      <w:pPr>
        <w:pStyle w:val="NoSpacing"/>
        <w:numPr>
          <w:ilvl w:val="0"/>
          <w:numId w:val="10"/>
        </w:numPr>
        <w:rPr>
          <w:lang w:val="en-US"/>
        </w:rPr>
      </w:pPr>
      <w:r>
        <w:rPr>
          <w:lang w:val="en-US"/>
        </w:rPr>
        <w:t>Any required supporting documentation, as outlined in the application form</w:t>
      </w:r>
      <w:r w:rsidR="009E2935">
        <w:rPr>
          <w:lang w:val="en-US"/>
        </w:rPr>
        <w:t>;</w:t>
      </w:r>
    </w:p>
    <w:p w14:paraId="16ED815A" w14:textId="19F00CCF" w:rsidR="00DA1DE4" w:rsidRDefault="00DA1DE4" w:rsidP="00DA1DE4">
      <w:pPr>
        <w:pStyle w:val="NoSpacing"/>
        <w:numPr>
          <w:ilvl w:val="0"/>
          <w:numId w:val="10"/>
        </w:numPr>
        <w:rPr>
          <w:lang w:val="en-US"/>
        </w:rPr>
      </w:pPr>
      <w:r>
        <w:rPr>
          <w:lang w:val="en-US"/>
        </w:rPr>
        <w:t>A recommendation letter from the relevant FBC</w:t>
      </w:r>
      <w:r w:rsidR="009E2935">
        <w:rPr>
          <w:lang w:val="en-US"/>
        </w:rPr>
        <w:t xml:space="preserve"> which first received and reviewed the application;</w:t>
      </w:r>
    </w:p>
    <w:p w14:paraId="64DBDF04" w14:textId="4ED7DCB2" w:rsidR="00DA1DE4" w:rsidRDefault="00DA1DE4" w:rsidP="00DA1DE4">
      <w:pPr>
        <w:pStyle w:val="NoSpacing"/>
        <w:numPr>
          <w:ilvl w:val="0"/>
          <w:numId w:val="10"/>
        </w:numPr>
        <w:rPr>
          <w:lang w:val="en-US"/>
        </w:rPr>
      </w:pPr>
      <w:r>
        <w:rPr>
          <w:lang w:val="en-US"/>
        </w:rPr>
        <w:t xml:space="preserve">Any rebuttal letters or provision of additional information requested by the FBC from the </w:t>
      </w:r>
      <w:r w:rsidR="009E2935">
        <w:rPr>
          <w:lang w:val="en-US"/>
        </w:rPr>
        <w:t xml:space="preserve">submitting </w:t>
      </w:r>
      <w:r>
        <w:rPr>
          <w:lang w:val="en-US"/>
        </w:rPr>
        <w:t>PI</w:t>
      </w:r>
      <w:r w:rsidR="009E2935">
        <w:rPr>
          <w:lang w:val="en-US"/>
        </w:rPr>
        <w:t>.</w:t>
      </w:r>
    </w:p>
    <w:p w14:paraId="207016CC" w14:textId="77777777" w:rsidR="00EB7CC8" w:rsidRDefault="00EB7CC8" w:rsidP="00FA2B05">
      <w:pPr>
        <w:pStyle w:val="NoSpacing"/>
        <w:rPr>
          <w:lang w:val="en-US"/>
        </w:rPr>
      </w:pPr>
    </w:p>
    <w:p w14:paraId="2509ED36" w14:textId="30B4E1F9" w:rsidR="00DA1DE4" w:rsidRDefault="00DA1DE4" w:rsidP="00FA2B05">
      <w:pPr>
        <w:pStyle w:val="NoSpacing"/>
        <w:rPr>
          <w:lang w:val="en-US"/>
        </w:rPr>
      </w:pPr>
      <w:r>
        <w:rPr>
          <w:lang w:val="en-US"/>
        </w:rPr>
        <w:t xml:space="preserve">If the documentation listed above is not provided to the IBC servicing officer within the timeframe for a given meeting </w:t>
      </w:r>
      <w:r w:rsidR="00E459AA">
        <w:rPr>
          <w:lang w:val="en-US"/>
        </w:rPr>
        <w:t>(</w:t>
      </w:r>
      <w:hyperlink w:anchor="_Timelines" w:history="1">
        <w:r w:rsidR="00D222D1" w:rsidRPr="00D222D1">
          <w:rPr>
            <w:rStyle w:val="Hyperlink"/>
            <w:lang w:val="en-US"/>
          </w:rPr>
          <w:t>Section 5</w:t>
        </w:r>
      </w:hyperlink>
      <w:r w:rsidR="00E459AA">
        <w:rPr>
          <w:lang w:val="en-US"/>
        </w:rPr>
        <w:t>)</w:t>
      </w:r>
      <w:r w:rsidR="009E2935">
        <w:rPr>
          <w:lang w:val="en-US"/>
        </w:rPr>
        <w:t>,</w:t>
      </w:r>
      <w:r>
        <w:rPr>
          <w:lang w:val="en-US"/>
        </w:rPr>
        <w:t xml:space="preserve"> the research protocol application will be held over to the next available meeting</w:t>
      </w:r>
      <w:r w:rsidR="009E2935">
        <w:rPr>
          <w:lang w:val="en-US"/>
        </w:rPr>
        <w:t xml:space="preserve"> to allow </w:t>
      </w:r>
      <w:r>
        <w:rPr>
          <w:lang w:val="en-US"/>
        </w:rPr>
        <w:t>for the outstanding documentation to be provided. Only once all the documentation</w:t>
      </w:r>
      <w:r w:rsidR="00E459AA">
        <w:rPr>
          <w:lang w:val="en-US"/>
        </w:rPr>
        <w:t xml:space="preserve"> is provided, and an application is deemed complete,</w:t>
      </w:r>
      <w:r>
        <w:rPr>
          <w:lang w:val="en-US"/>
        </w:rPr>
        <w:t xml:space="preserve"> will </w:t>
      </w:r>
      <w:r w:rsidR="00E459AA">
        <w:rPr>
          <w:lang w:val="en-US"/>
        </w:rPr>
        <w:t>it</w:t>
      </w:r>
      <w:r>
        <w:rPr>
          <w:lang w:val="en-US"/>
        </w:rPr>
        <w:t xml:space="preserve"> be placed on an IBC meeting agenda</w:t>
      </w:r>
      <w:r w:rsidR="00E459AA">
        <w:rPr>
          <w:lang w:val="en-US"/>
        </w:rPr>
        <w:t xml:space="preserve"> for review.</w:t>
      </w:r>
    </w:p>
    <w:p w14:paraId="15CD7BD2" w14:textId="77777777" w:rsidR="00802580" w:rsidRDefault="00802580" w:rsidP="00FA2B05">
      <w:pPr>
        <w:pStyle w:val="NoSpacing"/>
        <w:rPr>
          <w:lang w:val="en-US"/>
        </w:rPr>
      </w:pPr>
    </w:p>
    <w:p w14:paraId="6CF1829A" w14:textId="77777777" w:rsidR="00DA1DE4" w:rsidRDefault="00DA1DE4" w:rsidP="00FA2B05">
      <w:pPr>
        <w:pStyle w:val="NoSpacing"/>
        <w:rPr>
          <w:lang w:val="en-US"/>
        </w:rPr>
      </w:pPr>
    </w:p>
    <w:p w14:paraId="0B861E91" w14:textId="2B36520D" w:rsidR="00EB7CC8" w:rsidRDefault="00EB7CC8" w:rsidP="00C772AB">
      <w:pPr>
        <w:pStyle w:val="Heading1"/>
        <w:rPr>
          <w:lang w:val="en-US"/>
        </w:rPr>
      </w:pPr>
      <w:bookmarkStart w:id="8" w:name="_Timelines"/>
      <w:bookmarkStart w:id="9" w:name="_Toc159227231"/>
      <w:bookmarkEnd w:id="8"/>
      <w:r>
        <w:rPr>
          <w:lang w:val="en-US"/>
        </w:rPr>
        <w:lastRenderedPageBreak/>
        <w:t>Timelines</w:t>
      </w:r>
      <w:bookmarkEnd w:id="9"/>
    </w:p>
    <w:p w14:paraId="08BD66EB" w14:textId="6A732259" w:rsidR="00EB7CC8" w:rsidRDefault="00EB7CC8" w:rsidP="00FA2B05">
      <w:pPr>
        <w:pStyle w:val="NoSpacing"/>
        <w:rPr>
          <w:lang w:val="en-US"/>
        </w:rPr>
      </w:pPr>
      <w:r>
        <w:rPr>
          <w:lang w:val="en-US"/>
        </w:rPr>
        <w:t>The IBC calendar of meeting</w:t>
      </w:r>
      <w:r w:rsidR="00E459AA">
        <w:rPr>
          <w:lang w:val="en-US"/>
        </w:rPr>
        <w:t>s</w:t>
      </w:r>
      <w:r w:rsidR="00D222D1">
        <w:rPr>
          <w:lang w:val="en-US"/>
        </w:rPr>
        <w:t xml:space="preserve"> and submission deadlines</w:t>
      </w:r>
      <w:r>
        <w:rPr>
          <w:lang w:val="en-US"/>
        </w:rPr>
        <w:t xml:space="preserve"> is </w:t>
      </w:r>
      <w:r w:rsidR="00382169">
        <w:rPr>
          <w:lang w:val="en-US"/>
        </w:rPr>
        <w:t xml:space="preserve">available </w:t>
      </w:r>
      <w:r w:rsidR="00D222D1">
        <w:rPr>
          <w:lang w:val="en-US"/>
        </w:rPr>
        <w:t xml:space="preserve">on the </w:t>
      </w:r>
      <w:hyperlink r:id="rId14" w:history="1">
        <w:r w:rsidR="00D222D1" w:rsidRPr="00D222D1">
          <w:rPr>
            <w:rStyle w:val="Hyperlink"/>
            <w:lang w:val="en-US"/>
          </w:rPr>
          <w:t>IBC website</w:t>
        </w:r>
      </w:hyperlink>
      <w:r w:rsidR="00D222D1">
        <w:rPr>
          <w:lang w:val="en-US"/>
        </w:rPr>
        <w:t>.</w:t>
      </w:r>
    </w:p>
    <w:p w14:paraId="5677BDDF" w14:textId="77777777" w:rsidR="00EB7CC8" w:rsidRDefault="00EB7CC8" w:rsidP="00FA2B05">
      <w:pPr>
        <w:pStyle w:val="NoSpacing"/>
        <w:rPr>
          <w:lang w:val="en-US"/>
        </w:rPr>
      </w:pPr>
    </w:p>
    <w:p w14:paraId="28F67AF8" w14:textId="0C5166DF" w:rsidR="00EB7CC8" w:rsidRDefault="00EB7CC8" w:rsidP="00FA2B05">
      <w:pPr>
        <w:pStyle w:val="NoSpacing"/>
        <w:rPr>
          <w:lang w:val="en-US"/>
        </w:rPr>
      </w:pPr>
      <w:r>
        <w:rPr>
          <w:lang w:val="en-US"/>
        </w:rPr>
        <w:t xml:space="preserve">If the FBC determines that a research project needs to be escalated to the </w:t>
      </w:r>
      <w:r w:rsidR="00E459AA">
        <w:rPr>
          <w:lang w:val="en-US"/>
        </w:rPr>
        <w:t>IBC</w:t>
      </w:r>
      <w:r w:rsidR="00382169">
        <w:rPr>
          <w:lang w:val="en-US"/>
        </w:rPr>
        <w:t xml:space="preserve"> for approval</w:t>
      </w:r>
      <w:r w:rsidR="00E459AA">
        <w:rPr>
          <w:lang w:val="en-US"/>
        </w:rPr>
        <w:t>,</w:t>
      </w:r>
      <w:r>
        <w:rPr>
          <w:lang w:val="en-US"/>
        </w:rPr>
        <w:t xml:space="preserve"> this notification </w:t>
      </w:r>
      <w:r w:rsidR="00382169">
        <w:rPr>
          <w:lang w:val="en-US"/>
        </w:rPr>
        <w:t xml:space="preserve">must </w:t>
      </w:r>
      <w:r>
        <w:rPr>
          <w:lang w:val="en-US"/>
        </w:rPr>
        <w:t xml:space="preserve">be made to the IBC no later than 2 weeks prior to the </w:t>
      </w:r>
      <w:r w:rsidR="00382169">
        <w:rPr>
          <w:lang w:val="en-US"/>
        </w:rPr>
        <w:t xml:space="preserve">date of the next scheduled or </w:t>
      </w:r>
      <w:r w:rsidR="00E459AA">
        <w:rPr>
          <w:lang w:val="en-US"/>
        </w:rPr>
        <w:t>targeted</w:t>
      </w:r>
      <w:r>
        <w:rPr>
          <w:lang w:val="en-US"/>
        </w:rPr>
        <w:t xml:space="preserve"> IBC meeting. The IBC servicing officer will invite applications from the FBCs approximately 3 weeks prior to a scheduled meeting. </w:t>
      </w:r>
    </w:p>
    <w:p w14:paraId="12F52605" w14:textId="77777777" w:rsidR="00EB7CC8" w:rsidRDefault="00EB7CC8" w:rsidP="00FA2B05">
      <w:pPr>
        <w:pStyle w:val="NoSpacing"/>
        <w:rPr>
          <w:lang w:val="en-US"/>
        </w:rPr>
      </w:pPr>
    </w:p>
    <w:p w14:paraId="2A83EA2A" w14:textId="3FF5396E" w:rsidR="00EB7CC8" w:rsidRDefault="00EB7CC8" w:rsidP="00FA2B05">
      <w:pPr>
        <w:pStyle w:val="NoSpacing"/>
        <w:rPr>
          <w:lang w:val="en-US"/>
        </w:rPr>
      </w:pPr>
      <w:r>
        <w:rPr>
          <w:lang w:val="en-US"/>
        </w:rPr>
        <w:t>FBCs are required to determine internal submission deadlines that will allow for the receipt, review and</w:t>
      </w:r>
      <w:r w:rsidR="00382169">
        <w:rPr>
          <w:lang w:val="en-US"/>
        </w:rPr>
        <w:t>, where necessary, revision and re-review</w:t>
      </w:r>
      <w:r>
        <w:rPr>
          <w:lang w:val="en-US"/>
        </w:rPr>
        <w:t xml:space="preserve"> </w:t>
      </w:r>
      <w:r w:rsidR="00382169">
        <w:rPr>
          <w:lang w:val="en-US"/>
        </w:rPr>
        <w:t xml:space="preserve">(including </w:t>
      </w:r>
      <w:r>
        <w:rPr>
          <w:lang w:val="en-US"/>
        </w:rPr>
        <w:t>discussion or provision of additional information</w:t>
      </w:r>
      <w:r w:rsidR="00382169">
        <w:rPr>
          <w:lang w:val="en-US"/>
        </w:rPr>
        <w:t>, if required)</w:t>
      </w:r>
      <w:r>
        <w:rPr>
          <w:lang w:val="en-US"/>
        </w:rPr>
        <w:t xml:space="preserve"> </w:t>
      </w:r>
      <w:r w:rsidR="00382169">
        <w:rPr>
          <w:lang w:val="en-US"/>
        </w:rPr>
        <w:t xml:space="preserve">of </w:t>
      </w:r>
      <w:r>
        <w:rPr>
          <w:lang w:val="en-US"/>
        </w:rPr>
        <w:t xml:space="preserve">protocol applications in time for them to be escalated to the IBC. </w:t>
      </w:r>
    </w:p>
    <w:p w14:paraId="42F3CD57" w14:textId="77777777" w:rsidR="00EB7CC8" w:rsidRDefault="00EB7CC8" w:rsidP="00FA2B05">
      <w:pPr>
        <w:pStyle w:val="NoSpacing"/>
        <w:rPr>
          <w:lang w:val="en-US"/>
        </w:rPr>
      </w:pPr>
    </w:p>
    <w:p w14:paraId="32D9A6E1" w14:textId="1F5C9919" w:rsidR="00EB7CC8" w:rsidRDefault="00EB7CC8" w:rsidP="00FA2B05">
      <w:pPr>
        <w:pStyle w:val="NoSpacing"/>
        <w:rPr>
          <w:lang w:val="en-US"/>
        </w:rPr>
      </w:pPr>
      <w:r>
        <w:rPr>
          <w:lang w:val="en-US"/>
        </w:rPr>
        <w:t>Research project applications received after the IBC deadline, or applications which are incomplete</w:t>
      </w:r>
      <w:r w:rsidR="00382169">
        <w:rPr>
          <w:lang w:val="en-US"/>
        </w:rPr>
        <w:t>,</w:t>
      </w:r>
      <w:r>
        <w:rPr>
          <w:lang w:val="en-US"/>
        </w:rPr>
        <w:t xml:space="preserve"> will be held </w:t>
      </w:r>
      <w:r w:rsidR="00E459AA">
        <w:rPr>
          <w:lang w:val="en-US"/>
        </w:rPr>
        <w:t xml:space="preserve">over </w:t>
      </w:r>
      <w:r>
        <w:rPr>
          <w:lang w:val="en-US"/>
        </w:rPr>
        <w:t>until the next IBC meeting.</w:t>
      </w:r>
    </w:p>
    <w:p w14:paraId="2C463B1D" w14:textId="77777777" w:rsidR="00802580" w:rsidRDefault="00802580" w:rsidP="00FA2B05">
      <w:pPr>
        <w:pStyle w:val="NoSpacing"/>
        <w:rPr>
          <w:lang w:val="en-US"/>
        </w:rPr>
      </w:pPr>
    </w:p>
    <w:p w14:paraId="2A3F170C" w14:textId="77777777" w:rsidR="00EB7CC8" w:rsidRDefault="00EB7CC8" w:rsidP="00FA2B05">
      <w:pPr>
        <w:pStyle w:val="NoSpacing"/>
        <w:rPr>
          <w:lang w:val="en-US"/>
        </w:rPr>
      </w:pPr>
    </w:p>
    <w:p w14:paraId="2207FAB2" w14:textId="25E04A41" w:rsidR="00DA1DE4" w:rsidRDefault="00DA1DE4" w:rsidP="00C772AB">
      <w:pPr>
        <w:pStyle w:val="Heading1"/>
        <w:rPr>
          <w:lang w:val="en-US"/>
        </w:rPr>
      </w:pPr>
      <w:bookmarkStart w:id="10" w:name="_Toc159227232"/>
      <w:r>
        <w:rPr>
          <w:lang w:val="en-US"/>
        </w:rPr>
        <w:t>Meetings</w:t>
      </w:r>
      <w:bookmarkEnd w:id="10"/>
    </w:p>
    <w:p w14:paraId="740AAE83" w14:textId="1E0D8D09" w:rsidR="00DA1DE4" w:rsidRDefault="000A09A0" w:rsidP="00FA2B05">
      <w:pPr>
        <w:pStyle w:val="NoSpacing"/>
        <w:rPr>
          <w:lang w:val="en-US"/>
        </w:rPr>
      </w:pPr>
      <w:r>
        <w:rPr>
          <w:lang w:val="en-US"/>
        </w:rPr>
        <w:t>The IBC meets approximately 1</w:t>
      </w:r>
      <w:r w:rsidR="00D222D1">
        <w:rPr>
          <w:lang w:val="en-US"/>
        </w:rPr>
        <w:t>1</w:t>
      </w:r>
      <w:r>
        <w:rPr>
          <w:lang w:val="en-US"/>
        </w:rPr>
        <w:t xml:space="preserve"> times per year</w:t>
      </w:r>
      <w:r w:rsidR="0017328F">
        <w:rPr>
          <w:lang w:val="en-US"/>
        </w:rPr>
        <w:t>,</w:t>
      </w:r>
      <w:r>
        <w:rPr>
          <w:lang w:val="en-US"/>
        </w:rPr>
        <w:t xml:space="preserve"> </w:t>
      </w:r>
      <w:r w:rsidR="0017328F">
        <w:rPr>
          <w:lang w:val="en-US"/>
        </w:rPr>
        <w:t>with</w:t>
      </w:r>
      <w:r>
        <w:rPr>
          <w:lang w:val="en-US"/>
        </w:rPr>
        <w:t xml:space="preserve"> no meeting</w:t>
      </w:r>
      <w:r w:rsidR="006339DE">
        <w:rPr>
          <w:lang w:val="en-US"/>
        </w:rPr>
        <w:t>s</w:t>
      </w:r>
      <w:r>
        <w:rPr>
          <w:lang w:val="en-US"/>
        </w:rPr>
        <w:t xml:space="preserve"> held in December. </w:t>
      </w:r>
    </w:p>
    <w:p w14:paraId="6B048B77" w14:textId="0CED695E" w:rsidR="000A09A0" w:rsidRDefault="000A09A0" w:rsidP="006339DE">
      <w:pPr>
        <w:pStyle w:val="NoSpacing"/>
        <w:numPr>
          <w:ilvl w:val="0"/>
          <w:numId w:val="11"/>
        </w:numPr>
        <w:rPr>
          <w:lang w:val="en-US"/>
        </w:rPr>
      </w:pPr>
      <w:r>
        <w:rPr>
          <w:lang w:val="en-US"/>
        </w:rPr>
        <w:t>The IBC has 4 quarterly meetings per year, these are generally scheduled in the last weeks of March, June, September</w:t>
      </w:r>
      <w:r w:rsidR="00382169">
        <w:rPr>
          <w:lang w:val="en-US"/>
        </w:rPr>
        <w:t>,</w:t>
      </w:r>
      <w:r>
        <w:rPr>
          <w:lang w:val="en-US"/>
        </w:rPr>
        <w:t xml:space="preserve"> and November.</w:t>
      </w:r>
      <w:r w:rsidR="006339DE">
        <w:rPr>
          <w:lang w:val="en-US"/>
        </w:rPr>
        <w:t xml:space="preserve"> Quarterly meetings are convened to consider policy and other related matters and any protocols which may have been received. Quarterly meetings will be hosted in-person in </w:t>
      </w:r>
      <w:r w:rsidR="00382169">
        <w:rPr>
          <w:lang w:val="en-US"/>
        </w:rPr>
        <w:t xml:space="preserve">UCT’s </w:t>
      </w:r>
      <w:r w:rsidR="006339DE">
        <w:rPr>
          <w:lang w:val="en-US"/>
        </w:rPr>
        <w:t>Research Office, Mowbray. Members are expected to attend quarterly meeting</w:t>
      </w:r>
      <w:r w:rsidR="001A0291">
        <w:rPr>
          <w:lang w:val="en-US"/>
        </w:rPr>
        <w:t>s</w:t>
      </w:r>
      <w:r w:rsidR="006339DE">
        <w:rPr>
          <w:lang w:val="en-US"/>
        </w:rPr>
        <w:t xml:space="preserve"> in person</w:t>
      </w:r>
      <w:r w:rsidR="001A0291">
        <w:rPr>
          <w:lang w:val="en-US"/>
        </w:rPr>
        <w:t xml:space="preserve"> at the Research Office, Mowbray</w:t>
      </w:r>
      <w:r w:rsidR="006339DE">
        <w:rPr>
          <w:lang w:val="en-US"/>
        </w:rPr>
        <w:t>, or send apologies to the servicing officer.</w:t>
      </w:r>
    </w:p>
    <w:p w14:paraId="4435CB82" w14:textId="08E85269" w:rsidR="006339DE" w:rsidRPr="006339DE" w:rsidRDefault="000A09A0" w:rsidP="006339DE">
      <w:pPr>
        <w:pStyle w:val="NoSpacing"/>
        <w:numPr>
          <w:ilvl w:val="0"/>
          <w:numId w:val="11"/>
        </w:numPr>
        <w:rPr>
          <w:lang w:val="en-US"/>
        </w:rPr>
      </w:pPr>
      <w:r>
        <w:rPr>
          <w:lang w:val="en-US"/>
        </w:rPr>
        <w:t xml:space="preserve">In addition to quarterly meetings, the IBC </w:t>
      </w:r>
      <w:r w:rsidR="006339DE">
        <w:rPr>
          <w:lang w:val="en-US"/>
        </w:rPr>
        <w:t xml:space="preserve">makes provision for monthly meetings </w:t>
      </w:r>
      <w:r w:rsidR="00382169">
        <w:rPr>
          <w:lang w:val="en-US"/>
        </w:rPr>
        <w:t xml:space="preserve">during </w:t>
      </w:r>
      <w:r w:rsidR="006339DE">
        <w:rPr>
          <w:lang w:val="en-US"/>
        </w:rPr>
        <w:t xml:space="preserve">which </w:t>
      </w:r>
      <w:r w:rsidR="006339DE" w:rsidRPr="006339DE">
        <w:rPr>
          <w:i/>
          <w:iCs/>
          <w:u w:val="single"/>
          <w:lang w:val="en-US"/>
        </w:rPr>
        <w:t>only protocols</w:t>
      </w:r>
      <w:r w:rsidR="006339DE">
        <w:rPr>
          <w:lang w:val="en-US"/>
        </w:rPr>
        <w:t xml:space="preserve"> are reviewed. These meetings are generally scheduled in the last weeks of </w:t>
      </w:r>
      <w:r w:rsidR="00D222D1">
        <w:rPr>
          <w:lang w:val="en-US"/>
        </w:rPr>
        <w:t xml:space="preserve">January, </w:t>
      </w:r>
      <w:r w:rsidR="006339DE">
        <w:rPr>
          <w:lang w:val="en-US"/>
        </w:rPr>
        <w:t>February, April, May, July, August</w:t>
      </w:r>
      <w:r w:rsidR="00382169">
        <w:rPr>
          <w:lang w:val="en-US"/>
        </w:rPr>
        <w:t>,</w:t>
      </w:r>
      <w:r w:rsidR="006339DE">
        <w:rPr>
          <w:lang w:val="en-US"/>
        </w:rPr>
        <w:t xml:space="preserve"> and October. If FBCs do not have any protocols to escalate to the IBC for a given monthly meeting, the </w:t>
      </w:r>
      <w:r w:rsidR="00382169">
        <w:rPr>
          <w:lang w:val="en-US"/>
        </w:rPr>
        <w:t xml:space="preserve">IBC </w:t>
      </w:r>
      <w:r w:rsidR="006339DE">
        <w:rPr>
          <w:lang w:val="en-US"/>
        </w:rPr>
        <w:t xml:space="preserve">Chair may take the decision to cancel </w:t>
      </w:r>
      <w:r w:rsidR="00382169">
        <w:rPr>
          <w:lang w:val="en-US"/>
        </w:rPr>
        <w:t xml:space="preserve">the monthly </w:t>
      </w:r>
      <w:r w:rsidR="006339DE">
        <w:rPr>
          <w:lang w:val="en-US"/>
        </w:rPr>
        <w:t>meeting. Monthly meeting</w:t>
      </w:r>
      <w:r w:rsidR="00382169">
        <w:rPr>
          <w:lang w:val="en-US"/>
        </w:rPr>
        <w:t>s</w:t>
      </w:r>
      <w:r w:rsidR="006339DE">
        <w:rPr>
          <w:lang w:val="en-US"/>
        </w:rPr>
        <w:t xml:space="preserve"> will be hosted virtually using Zoom as a meeting platform. </w:t>
      </w:r>
      <w:r w:rsidR="00FB54A2">
        <w:rPr>
          <w:lang w:val="en-US"/>
        </w:rPr>
        <w:t xml:space="preserve">The general expectation is that members will attend monthly meetings virtually. </w:t>
      </w:r>
    </w:p>
    <w:p w14:paraId="2A8FA2F0" w14:textId="342350AC" w:rsidR="00FB54A2" w:rsidRDefault="006339DE" w:rsidP="006339DE">
      <w:pPr>
        <w:pStyle w:val="NoSpacing"/>
        <w:numPr>
          <w:ilvl w:val="0"/>
          <w:numId w:val="11"/>
        </w:numPr>
        <w:rPr>
          <w:lang w:val="en-US"/>
        </w:rPr>
      </w:pPr>
      <w:r>
        <w:rPr>
          <w:lang w:val="en-US"/>
        </w:rPr>
        <w:t xml:space="preserve">The IBC may also call special meetings if urgent business needs to be considered. </w:t>
      </w:r>
      <w:r w:rsidR="00FB54A2">
        <w:rPr>
          <w:lang w:val="en-US"/>
        </w:rPr>
        <w:t xml:space="preserve">Special meetings will generally be hosted virtually, unless prior agreement of the committee </w:t>
      </w:r>
      <w:r w:rsidR="00382169">
        <w:rPr>
          <w:lang w:val="en-US"/>
        </w:rPr>
        <w:t xml:space="preserve">is secured </w:t>
      </w:r>
      <w:r w:rsidR="00FB54A2">
        <w:rPr>
          <w:lang w:val="en-US"/>
        </w:rPr>
        <w:t xml:space="preserve">to convene in-person. </w:t>
      </w:r>
    </w:p>
    <w:p w14:paraId="57F9CE9F" w14:textId="6C4ADFCF" w:rsidR="006339DE" w:rsidRDefault="006339DE" w:rsidP="006339DE">
      <w:pPr>
        <w:pStyle w:val="NoSpacing"/>
        <w:numPr>
          <w:ilvl w:val="0"/>
          <w:numId w:val="11"/>
        </w:numPr>
        <w:rPr>
          <w:lang w:val="en-US"/>
        </w:rPr>
      </w:pPr>
      <w:r>
        <w:rPr>
          <w:lang w:val="en-US"/>
        </w:rPr>
        <w:t xml:space="preserve">A Chair’s Circular may also be issued in place of a special meeting. </w:t>
      </w:r>
      <w:r w:rsidR="00FB54A2">
        <w:rPr>
          <w:lang w:val="en-US"/>
        </w:rPr>
        <w:t xml:space="preserve">A Chair’s Circular will have a comment period of two weeks to allow members sufficient time to consider the documentation. </w:t>
      </w:r>
    </w:p>
    <w:p w14:paraId="027D22E2" w14:textId="77777777" w:rsidR="00704BCE" w:rsidRDefault="00704BCE" w:rsidP="00FA2B05">
      <w:pPr>
        <w:pStyle w:val="NoSpacing"/>
        <w:rPr>
          <w:lang w:val="en-US"/>
        </w:rPr>
      </w:pPr>
    </w:p>
    <w:p w14:paraId="3B3B4B0D" w14:textId="53AE4C34" w:rsidR="006339DE" w:rsidRDefault="006339DE" w:rsidP="00FA2B05">
      <w:pPr>
        <w:pStyle w:val="NoSpacing"/>
        <w:rPr>
          <w:lang w:val="en-US"/>
        </w:rPr>
      </w:pPr>
      <w:r>
        <w:rPr>
          <w:lang w:val="en-US"/>
        </w:rPr>
        <w:t>All meetings will be scheduled as early as possible in the year and placed in the committee</w:t>
      </w:r>
      <w:r w:rsidR="0017328F">
        <w:rPr>
          <w:lang w:val="en-US"/>
        </w:rPr>
        <w:t xml:space="preserve"> member</w:t>
      </w:r>
      <w:r>
        <w:rPr>
          <w:lang w:val="en-US"/>
        </w:rPr>
        <w:t>s</w:t>
      </w:r>
      <w:r w:rsidR="0017328F">
        <w:rPr>
          <w:lang w:val="en-US"/>
        </w:rPr>
        <w:t>’</w:t>
      </w:r>
      <w:r>
        <w:rPr>
          <w:lang w:val="en-US"/>
        </w:rPr>
        <w:t xml:space="preserve"> diaries to secure the time. </w:t>
      </w:r>
    </w:p>
    <w:p w14:paraId="5CB1FC43" w14:textId="77777777" w:rsidR="006339DE" w:rsidRDefault="006339DE" w:rsidP="00FA2B05">
      <w:pPr>
        <w:pStyle w:val="NoSpacing"/>
        <w:rPr>
          <w:lang w:val="en-US"/>
        </w:rPr>
      </w:pPr>
    </w:p>
    <w:p w14:paraId="7633A6E9" w14:textId="6CBAFE12" w:rsidR="006339DE" w:rsidRDefault="006339DE" w:rsidP="00FA2B05">
      <w:pPr>
        <w:pStyle w:val="NoSpacing"/>
        <w:rPr>
          <w:lang w:val="en-US"/>
        </w:rPr>
      </w:pPr>
      <w:r>
        <w:rPr>
          <w:lang w:val="en-US"/>
        </w:rPr>
        <w:t>Agendas will be drafted and distributed to the IBC by the Servicing Officer no later than one (1) week prior to a scheduled meeting.</w:t>
      </w:r>
    </w:p>
    <w:p w14:paraId="414D7BBB" w14:textId="77777777" w:rsidR="007F1B68" w:rsidRDefault="007F1B68" w:rsidP="00FA2B05">
      <w:pPr>
        <w:pStyle w:val="NoSpacing"/>
        <w:rPr>
          <w:lang w:val="en-US"/>
        </w:rPr>
      </w:pPr>
    </w:p>
    <w:p w14:paraId="04EA6305" w14:textId="77777777" w:rsidR="00FB54A2" w:rsidRDefault="00FB54A2" w:rsidP="00FA2B05">
      <w:pPr>
        <w:pStyle w:val="NoSpacing"/>
        <w:rPr>
          <w:lang w:val="en-US"/>
        </w:rPr>
      </w:pPr>
    </w:p>
    <w:p w14:paraId="6F08AB60" w14:textId="6F297963" w:rsidR="004F6D91" w:rsidRDefault="004F6D91" w:rsidP="00C772AB">
      <w:pPr>
        <w:pStyle w:val="Heading1"/>
        <w:rPr>
          <w:lang w:val="en-US"/>
        </w:rPr>
      </w:pPr>
      <w:bookmarkStart w:id="11" w:name="_Review_procedures_and"/>
      <w:bookmarkStart w:id="12" w:name="_Toc159227233"/>
      <w:bookmarkEnd w:id="11"/>
      <w:r>
        <w:rPr>
          <w:lang w:val="en-US"/>
        </w:rPr>
        <w:t>Review procedures</w:t>
      </w:r>
      <w:r w:rsidR="000F7B93">
        <w:rPr>
          <w:lang w:val="en-US"/>
        </w:rPr>
        <w:t xml:space="preserve"> and delegation of authority</w:t>
      </w:r>
      <w:bookmarkEnd w:id="12"/>
    </w:p>
    <w:p w14:paraId="677A19D1" w14:textId="1701C29A" w:rsidR="004F6D91" w:rsidRDefault="006339DE" w:rsidP="006339DE">
      <w:pPr>
        <w:pStyle w:val="NoSpacing"/>
        <w:rPr>
          <w:lang w:val="en-US"/>
        </w:rPr>
      </w:pPr>
      <w:r>
        <w:rPr>
          <w:lang w:val="en-US"/>
        </w:rPr>
        <w:t xml:space="preserve">Protocols received by the </w:t>
      </w:r>
      <w:r w:rsidR="003D67FF">
        <w:rPr>
          <w:lang w:val="en-US"/>
        </w:rPr>
        <w:t>IBC will be included in an agenda pack</w:t>
      </w:r>
      <w:r w:rsidR="00C102D6">
        <w:rPr>
          <w:lang w:val="en-US"/>
        </w:rPr>
        <w:t xml:space="preserve"> which </w:t>
      </w:r>
      <w:r w:rsidR="0017328F">
        <w:rPr>
          <w:lang w:val="en-US"/>
        </w:rPr>
        <w:t xml:space="preserve">will be </w:t>
      </w:r>
      <w:r w:rsidR="003D67FF">
        <w:rPr>
          <w:lang w:val="en-US"/>
        </w:rPr>
        <w:t xml:space="preserve">distributed </w:t>
      </w:r>
      <w:r w:rsidR="00C102D6">
        <w:rPr>
          <w:lang w:val="en-US"/>
        </w:rPr>
        <w:t xml:space="preserve">one (1) week in advance </w:t>
      </w:r>
      <w:r w:rsidR="003D67FF">
        <w:rPr>
          <w:lang w:val="en-US"/>
        </w:rPr>
        <w:t>of a given meeting. At the meeting, the following will take place:</w:t>
      </w:r>
    </w:p>
    <w:p w14:paraId="1FD0DCFA" w14:textId="2AC16812" w:rsidR="003D67FF" w:rsidRDefault="003D67FF" w:rsidP="003D67FF">
      <w:pPr>
        <w:pStyle w:val="NoSpacing"/>
        <w:numPr>
          <w:ilvl w:val="0"/>
          <w:numId w:val="13"/>
        </w:numPr>
        <w:rPr>
          <w:lang w:val="en-US"/>
        </w:rPr>
      </w:pPr>
      <w:r>
        <w:rPr>
          <w:lang w:val="en-US"/>
        </w:rPr>
        <w:t xml:space="preserve">The Chair </w:t>
      </w:r>
      <w:r w:rsidR="00C102D6">
        <w:rPr>
          <w:lang w:val="en-US"/>
        </w:rPr>
        <w:t xml:space="preserve">of the FBC which </w:t>
      </w:r>
      <w:r>
        <w:rPr>
          <w:lang w:val="en-US"/>
        </w:rPr>
        <w:t>escalat</w:t>
      </w:r>
      <w:r w:rsidR="00C102D6">
        <w:rPr>
          <w:lang w:val="en-US"/>
        </w:rPr>
        <w:t>ed</w:t>
      </w:r>
      <w:r>
        <w:rPr>
          <w:lang w:val="en-US"/>
        </w:rPr>
        <w:t xml:space="preserve"> the application will present the research protocol to the </w:t>
      </w:r>
      <w:r w:rsidR="00C102D6">
        <w:rPr>
          <w:lang w:val="en-US"/>
        </w:rPr>
        <w:t>IBC</w:t>
      </w:r>
      <w:r>
        <w:rPr>
          <w:lang w:val="en-US"/>
        </w:rPr>
        <w:t>, including any communications with the PI, provision of additional supporting information</w:t>
      </w:r>
      <w:r w:rsidR="00C102D6">
        <w:rPr>
          <w:lang w:val="en-US"/>
        </w:rPr>
        <w:t>,</w:t>
      </w:r>
      <w:r>
        <w:rPr>
          <w:lang w:val="en-US"/>
        </w:rPr>
        <w:t xml:space="preserve"> and the </w:t>
      </w:r>
      <w:r w:rsidR="00C102D6">
        <w:rPr>
          <w:lang w:val="en-US"/>
        </w:rPr>
        <w:t xml:space="preserve">rationale for </w:t>
      </w:r>
      <w:r>
        <w:rPr>
          <w:lang w:val="en-US"/>
        </w:rPr>
        <w:t>FBC’s recommendation for a project outcome</w:t>
      </w:r>
      <w:r w:rsidR="006B2411">
        <w:rPr>
          <w:lang w:val="en-US"/>
        </w:rPr>
        <w:t>/decision</w:t>
      </w:r>
      <w:r>
        <w:rPr>
          <w:lang w:val="en-US"/>
        </w:rPr>
        <w:t xml:space="preserve">. </w:t>
      </w:r>
    </w:p>
    <w:p w14:paraId="10553FA7" w14:textId="61F0F604" w:rsidR="003D67FF" w:rsidRDefault="003D67FF" w:rsidP="003D67FF">
      <w:pPr>
        <w:pStyle w:val="NoSpacing"/>
        <w:numPr>
          <w:ilvl w:val="0"/>
          <w:numId w:val="13"/>
        </w:numPr>
        <w:rPr>
          <w:lang w:val="en-US"/>
        </w:rPr>
      </w:pPr>
      <w:r>
        <w:rPr>
          <w:lang w:val="en-US"/>
        </w:rPr>
        <w:t xml:space="preserve">The </w:t>
      </w:r>
      <w:r w:rsidR="0017328F">
        <w:rPr>
          <w:lang w:val="en-US"/>
        </w:rPr>
        <w:t xml:space="preserve">IBC </w:t>
      </w:r>
      <w:r>
        <w:rPr>
          <w:lang w:val="en-US"/>
        </w:rPr>
        <w:t xml:space="preserve">will discuss the application and any concerns </w:t>
      </w:r>
      <w:r w:rsidR="00C102D6">
        <w:rPr>
          <w:lang w:val="en-US"/>
        </w:rPr>
        <w:t>arising</w:t>
      </w:r>
      <w:r>
        <w:rPr>
          <w:lang w:val="en-US"/>
        </w:rPr>
        <w:t xml:space="preserve"> in relation to the protocol. </w:t>
      </w:r>
    </w:p>
    <w:p w14:paraId="5FAE1D06" w14:textId="741AE200" w:rsidR="003D67FF" w:rsidRDefault="003D67FF" w:rsidP="003D67FF">
      <w:pPr>
        <w:pStyle w:val="NoSpacing"/>
        <w:numPr>
          <w:ilvl w:val="0"/>
          <w:numId w:val="13"/>
        </w:numPr>
        <w:rPr>
          <w:lang w:val="en-US"/>
        </w:rPr>
      </w:pPr>
      <w:r>
        <w:rPr>
          <w:lang w:val="en-US"/>
        </w:rPr>
        <w:t xml:space="preserve">If the </w:t>
      </w:r>
      <w:r w:rsidR="0017328F">
        <w:rPr>
          <w:lang w:val="en-US"/>
        </w:rPr>
        <w:t xml:space="preserve">IBC </w:t>
      </w:r>
      <w:r>
        <w:rPr>
          <w:lang w:val="en-US"/>
        </w:rPr>
        <w:t xml:space="preserve">is satisfied with the application, </w:t>
      </w:r>
      <w:r w:rsidR="00C102D6">
        <w:rPr>
          <w:lang w:val="en-US"/>
        </w:rPr>
        <w:t xml:space="preserve">it </w:t>
      </w:r>
      <w:r>
        <w:rPr>
          <w:lang w:val="en-US"/>
        </w:rPr>
        <w:t>may choose to approve it.</w:t>
      </w:r>
      <w:r w:rsidR="006B2411">
        <w:rPr>
          <w:lang w:val="en-US"/>
        </w:rPr>
        <w:t xml:space="preserve"> </w:t>
      </w:r>
      <w:r w:rsidR="006B2411" w:rsidRPr="006B2411">
        <w:rPr>
          <w:lang w:val="en-US"/>
        </w:rPr>
        <w:t xml:space="preserve">This decision must be clearly documented by the Servicing Officer </w:t>
      </w:r>
      <w:r w:rsidR="00C102D6">
        <w:rPr>
          <w:lang w:val="en-US"/>
        </w:rPr>
        <w:t>in</w:t>
      </w:r>
      <w:r w:rsidR="00C102D6" w:rsidRPr="006B2411">
        <w:rPr>
          <w:lang w:val="en-US"/>
        </w:rPr>
        <w:t xml:space="preserve"> </w:t>
      </w:r>
      <w:r w:rsidR="006B2411" w:rsidRPr="006B2411">
        <w:rPr>
          <w:lang w:val="en-US"/>
        </w:rPr>
        <w:t>the minutes of the meeting</w:t>
      </w:r>
      <w:r w:rsidR="00541A78">
        <w:rPr>
          <w:lang w:val="en-US"/>
        </w:rPr>
        <w:t xml:space="preserve"> </w:t>
      </w:r>
      <w:r w:rsidR="00541A78" w:rsidRPr="00541A78">
        <w:rPr>
          <w:lang w:val="en-US"/>
        </w:rPr>
        <w:t>and communicated to the PI.</w:t>
      </w:r>
    </w:p>
    <w:p w14:paraId="71267A0D" w14:textId="78B27D73" w:rsidR="003D67FF" w:rsidRDefault="003D67FF" w:rsidP="003D67FF">
      <w:pPr>
        <w:pStyle w:val="NoSpacing"/>
        <w:numPr>
          <w:ilvl w:val="0"/>
          <w:numId w:val="13"/>
        </w:numPr>
        <w:rPr>
          <w:lang w:val="en-US"/>
        </w:rPr>
      </w:pPr>
      <w:r>
        <w:rPr>
          <w:lang w:val="en-US"/>
        </w:rPr>
        <w:lastRenderedPageBreak/>
        <w:t xml:space="preserve">If the </w:t>
      </w:r>
      <w:r w:rsidR="0017328F">
        <w:rPr>
          <w:lang w:val="en-US"/>
        </w:rPr>
        <w:t xml:space="preserve">IBC </w:t>
      </w:r>
      <w:r>
        <w:rPr>
          <w:lang w:val="en-US"/>
        </w:rPr>
        <w:t>is not satisfied with the application, the</w:t>
      </w:r>
      <w:r w:rsidR="0017328F">
        <w:rPr>
          <w:lang w:val="en-US"/>
        </w:rPr>
        <w:t xml:space="preserve"> committee </w:t>
      </w:r>
      <w:r>
        <w:rPr>
          <w:lang w:val="en-US"/>
        </w:rPr>
        <w:t xml:space="preserve">may choose NOT </w:t>
      </w:r>
      <w:r w:rsidR="00C102D6">
        <w:rPr>
          <w:lang w:val="en-US"/>
        </w:rPr>
        <w:t xml:space="preserve">to </w:t>
      </w:r>
      <w:r>
        <w:rPr>
          <w:lang w:val="en-US"/>
        </w:rPr>
        <w:t>approve it.</w:t>
      </w:r>
      <w:r w:rsidR="006B2411">
        <w:rPr>
          <w:lang w:val="en-US"/>
        </w:rPr>
        <w:t xml:space="preserve"> </w:t>
      </w:r>
      <w:r w:rsidR="006B2411" w:rsidRPr="006B2411">
        <w:rPr>
          <w:lang w:val="en-US"/>
        </w:rPr>
        <w:t xml:space="preserve">This decision must be clearly documented by the Servicing Officer </w:t>
      </w:r>
      <w:r w:rsidR="00C102D6">
        <w:rPr>
          <w:lang w:val="en-US"/>
        </w:rPr>
        <w:t>in</w:t>
      </w:r>
      <w:r w:rsidR="00C102D6" w:rsidRPr="006B2411">
        <w:rPr>
          <w:lang w:val="en-US"/>
        </w:rPr>
        <w:t xml:space="preserve"> </w:t>
      </w:r>
      <w:r w:rsidR="006B2411" w:rsidRPr="006B2411">
        <w:rPr>
          <w:lang w:val="en-US"/>
        </w:rPr>
        <w:t>the minutes of the meeting</w:t>
      </w:r>
      <w:r w:rsidR="00541A78">
        <w:rPr>
          <w:lang w:val="en-US"/>
        </w:rPr>
        <w:t xml:space="preserve"> </w:t>
      </w:r>
      <w:r w:rsidR="00541A78" w:rsidRPr="00541A78">
        <w:rPr>
          <w:lang w:val="en-US"/>
        </w:rPr>
        <w:t>and communicated to the PI.</w:t>
      </w:r>
    </w:p>
    <w:p w14:paraId="2145ED44" w14:textId="6C3D63DA" w:rsidR="003D67FF" w:rsidRDefault="003D67FF" w:rsidP="003D67FF">
      <w:pPr>
        <w:pStyle w:val="NoSpacing"/>
        <w:numPr>
          <w:ilvl w:val="0"/>
          <w:numId w:val="13"/>
        </w:numPr>
        <w:rPr>
          <w:lang w:val="en-US"/>
        </w:rPr>
      </w:pPr>
      <w:r>
        <w:rPr>
          <w:lang w:val="en-US"/>
        </w:rPr>
        <w:t xml:space="preserve">If the </w:t>
      </w:r>
      <w:r w:rsidR="0017328F">
        <w:rPr>
          <w:lang w:val="en-US"/>
        </w:rPr>
        <w:t xml:space="preserve">IBC </w:t>
      </w:r>
      <w:r>
        <w:rPr>
          <w:lang w:val="en-US"/>
        </w:rPr>
        <w:t xml:space="preserve">has queries </w:t>
      </w:r>
      <w:r w:rsidR="00C102D6">
        <w:rPr>
          <w:lang w:val="en-US"/>
        </w:rPr>
        <w:t>about</w:t>
      </w:r>
      <w:r>
        <w:rPr>
          <w:lang w:val="en-US"/>
        </w:rPr>
        <w:t xml:space="preserve"> </w:t>
      </w:r>
      <w:r w:rsidR="0017328F">
        <w:rPr>
          <w:lang w:val="en-US"/>
        </w:rPr>
        <w:t xml:space="preserve">an </w:t>
      </w:r>
      <w:r>
        <w:rPr>
          <w:lang w:val="en-US"/>
        </w:rPr>
        <w:t xml:space="preserve">application, </w:t>
      </w:r>
      <w:r w:rsidR="0017328F">
        <w:rPr>
          <w:lang w:val="en-US"/>
        </w:rPr>
        <w:t xml:space="preserve">the committee </w:t>
      </w:r>
      <w:r>
        <w:rPr>
          <w:lang w:val="en-US"/>
        </w:rPr>
        <w:t xml:space="preserve">may </w:t>
      </w:r>
      <w:r w:rsidR="006B2411">
        <w:rPr>
          <w:lang w:val="en-US"/>
        </w:rPr>
        <w:t>delay making</w:t>
      </w:r>
      <w:r>
        <w:rPr>
          <w:lang w:val="en-US"/>
        </w:rPr>
        <w:t xml:space="preserve"> a final decision until the Chair and Servicing Officer have been able to communicate with the PI </w:t>
      </w:r>
      <w:r w:rsidR="00C102D6">
        <w:rPr>
          <w:lang w:val="en-US"/>
        </w:rPr>
        <w:t xml:space="preserve">to </w:t>
      </w:r>
      <w:r>
        <w:rPr>
          <w:lang w:val="en-US"/>
        </w:rPr>
        <w:t xml:space="preserve">provide additional information for the committee to consider. </w:t>
      </w:r>
    </w:p>
    <w:p w14:paraId="72F7047C" w14:textId="1B9CEA73" w:rsidR="003D67FF" w:rsidRDefault="003D67FF" w:rsidP="003D67FF">
      <w:pPr>
        <w:pStyle w:val="NoSpacing"/>
        <w:numPr>
          <w:ilvl w:val="1"/>
          <w:numId w:val="13"/>
        </w:numPr>
        <w:rPr>
          <w:lang w:val="en-US"/>
        </w:rPr>
      </w:pPr>
      <w:r>
        <w:rPr>
          <w:lang w:val="en-US"/>
        </w:rPr>
        <w:t xml:space="preserve">The committee may choose to reconsider the application, in its entirety, following the provision of additional information, at a convened meeting. This decision must be clearly documented by the Servicing Officer </w:t>
      </w:r>
      <w:r w:rsidR="00C102D6">
        <w:rPr>
          <w:lang w:val="en-US"/>
        </w:rPr>
        <w:t xml:space="preserve">in </w:t>
      </w:r>
      <w:r>
        <w:rPr>
          <w:lang w:val="en-US"/>
        </w:rPr>
        <w:t>the minutes of the meeting</w:t>
      </w:r>
      <w:r w:rsidR="00291049">
        <w:rPr>
          <w:lang w:val="en-US"/>
        </w:rPr>
        <w:t xml:space="preserve"> and communicated to the PI.</w:t>
      </w:r>
    </w:p>
    <w:p w14:paraId="77460E4B" w14:textId="7C519B46" w:rsidR="003D67FF" w:rsidRDefault="003D67FF" w:rsidP="003D67FF">
      <w:pPr>
        <w:pStyle w:val="NoSpacing"/>
        <w:numPr>
          <w:ilvl w:val="1"/>
          <w:numId w:val="13"/>
        </w:numPr>
        <w:rPr>
          <w:lang w:val="en-US"/>
        </w:rPr>
      </w:pPr>
      <w:r>
        <w:rPr>
          <w:lang w:val="en-US"/>
        </w:rPr>
        <w:t xml:space="preserve">The committee may delegate the final decision-making authority to the Chair, following provision of additional information by the PI. </w:t>
      </w:r>
      <w:r w:rsidRPr="003D67FF">
        <w:rPr>
          <w:lang w:val="en-US"/>
        </w:rPr>
        <w:t>This decision must be clearly documented by the Servicing Officer for the minutes of the meeting</w:t>
      </w:r>
      <w:r w:rsidR="00541A78">
        <w:rPr>
          <w:lang w:val="en-US"/>
        </w:rPr>
        <w:t xml:space="preserve">. Following the provision of the additional information, if the Chair is satisfied, </w:t>
      </w:r>
      <w:r w:rsidR="00D222D1">
        <w:rPr>
          <w:lang w:val="en-US"/>
        </w:rPr>
        <w:t>they</w:t>
      </w:r>
      <w:r w:rsidR="00C102D6">
        <w:rPr>
          <w:lang w:val="en-US"/>
        </w:rPr>
        <w:t xml:space="preserve"> </w:t>
      </w:r>
      <w:r w:rsidR="00541A78">
        <w:rPr>
          <w:lang w:val="en-US"/>
        </w:rPr>
        <w:t xml:space="preserve">may approve the project using the delegated authority of the IBC. If the Chair determines that the IBC should review the additional information </w:t>
      </w:r>
      <w:r w:rsidR="00D537C8">
        <w:rPr>
          <w:lang w:val="en-US"/>
        </w:rPr>
        <w:t>provided,</w:t>
      </w:r>
      <w:r w:rsidR="00541A78">
        <w:rPr>
          <w:lang w:val="en-US"/>
        </w:rPr>
        <w:t xml:space="preserve"> </w:t>
      </w:r>
      <w:r w:rsidR="00C102D6">
        <w:rPr>
          <w:lang w:val="en-US"/>
        </w:rPr>
        <w:t>it</w:t>
      </w:r>
      <w:r w:rsidR="00541A78">
        <w:rPr>
          <w:lang w:val="en-US"/>
        </w:rPr>
        <w:t xml:space="preserve"> may be placed on a forthcoming meeting agenda. This will be communicated to the PI and IBC by the Servicing Officer.</w:t>
      </w:r>
    </w:p>
    <w:p w14:paraId="4969163B" w14:textId="77777777" w:rsidR="00704BCE" w:rsidRDefault="00704BCE" w:rsidP="00FA2B05">
      <w:pPr>
        <w:pStyle w:val="NoSpacing"/>
        <w:rPr>
          <w:lang w:val="en-US"/>
        </w:rPr>
      </w:pPr>
    </w:p>
    <w:p w14:paraId="5E6AA34A" w14:textId="77777777" w:rsidR="00FA2B05" w:rsidRDefault="00FA2B05" w:rsidP="00FA2B05">
      <w:pPr>
        <w:pStyle w:val="NoSpacing"/>
        <w:rPr>
          <w:lang w:val="en-US"/>
        </w:rPr>
      </w:pPr>
    </w:p>
    <w:p w14:paraId="10A7DBB4" w14:textId="59D8D39A" w:rsidR="00FA2B05" w:rsidRDefault="00FA2B05" w:rsidP="00C772AB">
      <w:pPr>
        <w:pStyle w:val="Heading1"/>
        <w:rPr>
          <w:lang w:val="en-US"/>
        </w:rPr>
      </w:pPr>
      <w:bookmarkStart w:id="13" w:name="_Types_and_communication"/>
      <w:bookmarkStart w:id="14" w:name="_Toc159227234"/>
      <w:bookmarkEnd w:id="13"/>
      <w:r>
        <w:rPr>
          <w:lang w:val="en-US"/>
        </w:rPr>
        <w:t>Types</w:t>
      </w:r>
      <w:r w:rsidR="003A0AE6">
        <w:rPr>
          <w:lang w:val="en-US"/>
        </w:rPr>
        <w:t xml:space="preserve"> and communication</w:t>
      </w:r>
      <w:r>
        <w:rPr>
          <w:lang w:val="en-US"/>
        </w:rPr>
        <w:t xml:space="preserve"> of </w:t>
      </w:r>
      <w:r w:rsidR="00D537C8">
        <w:rPr>
          <w:lang w:val="en-US"/>
        </w:rPr>
        <w:t>outcomes</w:t>
      </w:r>
      <w:bookmarkEnd w:id="14"/>
      <w:r w:rsidR="003A0AE6">
        <w:rPr>
          <w:lang w:val="en-US"/>
        </w:rPr>
        <w:t xml:space="preserve"> </w:t>
      </w:r>
    </w:p>
    <w:p w14:paraId="3D0A79FB" w14:textId="3A821521" w:rsidR="00D537C8" w:rsidRDefault="00D537C8" w:rsidP="00D537C8">
      <w:pPr>
        <w:pStyle w:val="NoSpacing"/>
        <w:rPr>
          <w:lang w:val="en-US"/>
        </w:rPr>
      </w:pPr>
      <w:r>
        <w:rPr>
          <w:lang w:val="en-US"/>
        </w:rPr>
        <w:t>Applications may receive one of the following outcomes:</w:t>
      </w:r>
    </w:p>
    <w:p w14:paraId="37692640" w14:textId="63D9D6A8" w:rsidR="00D537C8" w:rsidRDefault="00D537C8" w:rsidP="00D537C8">
      <w:pPr>
        <w:pStyle w:val="NoSpacing"/>
        <w:numPr>
          <w:ilvl w:val="0"/>
          <w:numId w:val="15"/>
        </w:numPr>
        <w:rPr>
          <w:lang w:val="en-US"/>
        </w:rPr>
      </w:pPr>
      <w:r w:rsidRPr="00327FE5">
        <w:rPr>
          <w:u w:val="single"/>
          <w:lang w:val="en-US"/>
        </w:rPr>
        <w:t>Not approved</w:t>
      </w:r>
      <w:r w:rsidR="007A0BD5">
        <w:rPr>
          <w:lang w:val="en-US"/>
        </w:rPr>
        <w:t>;</w:t>
      </w:r>
      <w:r>
        <w:rPr>
          <w:lang w:val="en-US"/>
        </w:rPr>
        <w:t xml:space="preserve"> </w:t>
      </w:r>
      <w:r w:rsidR="007A0BD5">
        <w:rPr>
          <w:lang w:val="en-US"/>
        </w:rPr>
        <w:t xml:space="preserve">the </w:t>
      </w:r>
      <w:r>
        <w:rPr>
          <w:lang w:val="en-US"/>
        </w:rPr>
        <w:t>project may not commence. In this case</w:t>
      </w:r>
      <w:r w:rsidR="007A0BD5">
        <w:rPr>
          <w:lang w:val="en-US"/>
        </w:rPr>
        <w:t>,</w:t>
      </w:r>
      <w:r>
        <w:rPr>
          <w:lang w:val="en-US"/>
        </w:rPr>
        <w:t xml:space="preserve"> the PI may submit a</w:t>
      </w:r>
      <w:r w:rsidR="007A0BD5">
        <w:rPr>
          <w:lang w:val="en-US"/>
        </w:rPr>
        <w:t xml:space="preserve"> revised</w:t>
      </w:r>
      <w:r>
        <w:rPr>
          <w:lang w:val="en-US"/>
        </w:rPr>
        <w:t xml:space="preserve"> application to the FBC</w:t>
      </w:r>
      <w:r w:rsidR="007A0BD5">
        <w:rPr>
          <w:lang w:val="en-US"/>
        </w:rPr>
        <w:t xml:space="preserve"> reflecting a genuine attempt to </w:t>
      </w:r>
      <w:r>
        <w:rPr>
          <w:lang w:val="en-US"/>
        </w:rPr>
        <w:t>implement IBC and FBC recommendations.</w:t>
      </w:r>
    </w:p>
    <w:p w14:paraId="3899DC00" w14:textId="7446FCD7" w:rsidR="00D537C8" w:rsidRDefault="00D537C8" w:rsidP="00D537C8">
      <w:pPr>
        <w:pStyle w:val="NoSpacing"/>
        <w:numPr>
          <w:ilvl w:val="0"/>
          <w:numId w:val="15"/>
        </w:numPr>
        <w:rPr>
          <w:lang w:val="en-US"/>
        </w:rPr>
      </w:pPr>
      <w:r w:rsidRPr="00327FE5">
        <w:rPr>
          <w:u w:val="single"/>
          <w:lang w:val="en-US"/>
        </w:rPr>
        <w:t>Approved</w:t>
      </w:r>
      <w:r w:rsidR="007A0BD5">
        <w:rPr>
          <w:u w:val="single"/>
          <w:lang w:val="en-US"/>
        </w:rPr>
        <w:t>;</w:t>
      </w:r>
      <w:r>
        <w:rPr>
          <w:lang w:val="en-US"/>
        </w:rPr>
        <w:t xml:space="preserve"> project may commence.</w:t>
      </w:r>
    </w:p>
    <w:p w14:paraId="3DDF5AD1" w14:textId="43FB3FFF" w:rsidR="00D537C8" w:rsidRDefault="00D537C8" w:rsidP="00D537C8">
      <w:pPr>
        <w:pStyle w:val="NoSpacing"/>
        <w:numPr>
          <w:ilvl w:val="0"/>
          <w:numId w:val="15"/>
        </w:numPr>
        <w:rPr>
          <w:lang w:val="en-US"/>
        </w:rPr>
      </w:pPr>
      <w:r w:rsidRPr="00327FE5">
        <w:rPr>
          <w:u w:val="single"/>
          <w:lang w:val="en-US"/>
        </w:rPr>
        <w:t>Approved with conditions</w:t>
      </w:r>
      <w:r w:rsidR="007A0BD5">
        <w:rPr>
          <w:u w:val="single"/>
          <w:lang w:val="en-US"/>
        </w:rPr>
        <w:t>;</w:t>
      </w:r>
      <w:r>
        <w:rPr>
          <w:lang w:val="en-US"/>
        </w:rPr>
        <w:t xml:space="preserve"> project may only commence after </w:t>
      </w:r>
      <w:r w:rsidR="007A0BD5">
        <w:rPr>
          <w:lang w:val="en-US"/>
        </w:rPr>
        <w:t xml:space="preserve">a specific </w:t>
      </w:r>
      <w:r>
        <w:rPr>
          <w:lang w:val="en-US"/>
        </w:rPr>
        <w:t>condition</w:t>
      </w:r>
      <w:r w:rsidR="007A0BD5">
        <w:rPr>
          <w:lang w:val="en-US"/>
        </w:rPr>
        <w:t>(</w:t>
      </w:r>
      <w:r>
        <w:rPr>
          <w:lang w:val="en-US"/>
        </w:rPr>
        <w:t>s</w:t>
      </w:r>
      <w:r w:rsidR="007A0BD5">
        <w:rPr>
          <w:lang w:val="en-US"/>
        </w:rPr>
        <w:t>)</w:t>
      </w:r>
      <w:r>
        <w:rPr>
          <w:lang w:val="en-US"/>
        </w:rPr>
        <w:t xml:space="preserve"> </w:t>
      </w:r>
      <w:r w:rsidR="007A0BD5">
        <w:rPr>
          <w:lang w:val="en-US"/>
        </w:rPr>
        <w:t xml:space="preserve">has </w:t>
      </w:r>
      <w:r>
        <w:rPr>
          <w:lang w:val="en-US"/>
        </w:rPr>
        <w:t>been met. The PI should provide evidence of having met the condition</w:t>
      </w:r>
      <w:r w:rsidR="007A0BD5">
        <w:rPr>
          <w:lang w:val="en-US"/>
        </w:rPr>
        <w:t>(s)</w:t>
      </w:r>
      <w:r>
        <w:rPr>
          <w:lang w:val="en-US"/>
        </w:rPr>
        <w:t xml:space="preserve"> to the IBC Servicing Officer and Chair.</w:t>
      </w:r>
    </w:p>
    <w:p w14:paraId="0AEF26AF" w14:textId="0A2C8242" w:rsidR="00D537C8" w:rsidRDefault="00D537C8" w:rsidP="00D537C8">
      <w:pPr>
        <w:pStyle w:val="NoSpacing"/>
        <w:numPr>
          <w:ilvl w:val="0"/>
          <w:numId w:val="15"/>
        </w:numPr>
        <w:rPr>
          <w:lang w:val="en-US"/>
        </w:rPr>
      </w:pPr>
      <w:r w:rsidRPr="00327FE5">
        <w:rPr>
          <w:u w:val="single"/>
          <w:lang w:val="en-US"/>
        </w:rPr>
        <w:t>IBC notes</w:t>
      </w:r>
      <w:r>
        <w:rPr>
          <w:lang w:val="en-US"/>
        </w:rPr>
        <w:t xml:space="preserve"> research protocol. This outcome is used </w:t>
      </w:r>
      <w:r w:rsidR="007A0BD5">
        <w:rPr>
          <w:lang w:val="en-US"/>
        </w:rPr>
        <w:t>where the</w:t>
      </w:r>
      <w:r>
        <w:rPr>
          <w:lang w:val="en-US"/>
        </w:rPr>
        <w:t xml:space="preserve"> FBC </w:t>
      </w:r>
      <w:r w:rsidR="007A0BD5">
        <w:rPr>
          <w:lang w:val="en-US"/>
        </w:rPr>
        <w:t xml:space="preserve">has </w:t>
      </w:r>
      <w:r>
        <w:rPr>
          <w:lang w:val="en-US"/>
        </w:rPr>
        <w:t>escalat</w:t>
      </w:r>
      <w:r w:rsidR="007A0BD5">
        <w:rPr>
          <w:lang w:val="en-US"/>
        </w:rPr>
        <w:t>ed</w:t>
      </w:r>
      <w:r>
        <w:rPr>
          <w:lang w:val="en-US"/>
        </w:rPr>
        <w:t xml:space="preserve"> an application to the IBC for noting. In this case, the IBC Servicing Officer will record the outcome for the minutes and communicate the outcome with the FBC Chair and Servicing Officer via email. </w:t>
      </w:r>
      <w:r w:rsidR="007A0BD5">
        <w:rPr>
          <w:lang w:val="en-US"/>
        </w:rPr>
        <w:t>For IBC notes protocols,</w:t>
      </w:r>
      <w:r>
        <w:rPr>
          <w:lang w:val="en-US"/>
        </w:rPr>
        <w:t xml:space="preserve"> it is the duty of the FBC to issue </w:t>
      </w:r>
      <w:r w:rsidR="0017328F">
        <w:rPr>
          <w:lang w:val="en-US"/>
        </w:rPr>
        <w:t>an outcome</w:t>
      </w:r>
      <w:r>
        <w:rPr>
          <w:lang w:val="en-US"/>
        </w:rPr>
        <w:t xml:space="preserve"> letter to the PI.</w:t>
      </w:r>
    </w:p>
    <w:p w14:paraId="0D5C3DD8" w14:textId="77777777" w:rsidR="00D537C8" w:rsidRDefault="00D537C8" w:rsidP="00D537C8">
      <w:pPr>
        <w:pStyle w:val="NoSpacing"/>
        <w:rPr>
          <w:lang w:val="en-US"/>
        </w:rPr>
      </w:pPr>
    </w:p>
    <w:p w14:paraId="4474289F" w14:textId="58CA4ED6" w:rsidR="00D537C8" w:rsidRDefault="00D537C8" w:rsidP="00D537C8">
      <w:pPr>
        <w:pStyle w:val="NoSpacing"/>
        <w:rPr>
          <w:lang w:val="en-US"/>
        </w:rPr>
      </w:pPr>
      <w:r>
        <w:rPr>
          <w:lang w:val="en-US"/>
        </w:rPr>
        <w:t>In the case of outcomes i – iii</w:t>
      </w:r>
      <w:r w:rsidR="00291319">
        <w:rPr>
          <w:lang w:val="en-US"/>
        </w:rPr>
        <w:t xml:space="preserve"> (</w:t>
      </w:r>
      <w:r>
        <w:rPr>
          <w:lang w:val="en-US"/>
        </w:rPr>
        <w:t>above</w:t>
      </w:r>
      <w:r w:rsidR="00291319">
        <w:rPr>
          <w:lang w:val="en-US"/>
        </w:rPr>
        <w:t>)</w:t>
      </w:r>
      <w:r>
        <w:rPr>
          <w:lang w:val="en-US"/>
        </w:rPr>
        <w:t>, the IBC Servicing Officer will draft an outcome letter for review, approval</w:t>
      </w:r>
      <w:r w:rsidR="00291319">
        <w:rPr>
          <w:lang w:val="en-US"/>
        </w:rPr>
        <w:t>,</w:t>
      </w:r>
      <w:r>
        <w:rPr>
          <w:lang w:val="en-US"/>
        </w:rPr>
        <w:t xml:space="preserve"> and signature of the IBC Chair. The Servicing Officer will send the outcome letter to the relevant PI (and appropriate project management staff associated with the project). </w:t>
      </w:r>
      <w:r w:rsidR="007A055C">
        <w:rPr>
          <w:lang w:val="en-US"/>
        </w:rPr>
        <w:t xml:space="preserve">All active projects will be recorded on the IBC database for record-keeping purposes and to allow for subsequent follow-up activities. </w:t>
      </w:r>
    </w:p>
    <w:p w14:paraId="794785EB" w14:textId="77777777" w:rsidR="007A055C" w:rsidRDefault="007A055C" w:rsidP="00D537C8">
      <w:pPr>
        <w:pStyle w:val="NoSpacing"/>
        <w:rPr>
          <w:lang w:val="en-US"/>
        </w:rPr>
      </w:pPr>
    </w:p>
    <w:p w14:paraId="662BF582" w14:textId="3A48BB39" w:rsidR="007A055C" w:rsidRDefault="007A055C" w:rsidP="00D537C8">
      <w:pPr>
        <w:pStyle w:val="NoSpacing"/>
        <w:rPr>
          <w:lang w:val="en-US"/>
        </w:rPr>
      </w:pPr>
      <w:r>
        <w:rPr>
          <w:lang w:val="en-US"/>
        </w:rPr>
        <w:t xml:space="preserve">In all cases of projects approved by the IBC, approval will be granted for </w:t>
      </w:r>
      <w:r w:rsidR="00291319">
        <w:rPr>
          <w:lang w:val="en-US"/>
        </w:rPr>
        <w:t>one (</w:t>
      </w:r>
      <w:r>
        <w:rPr>
          <w:lang w:val="en-US"/>
        </w:rPr>
        <w:t>1</w:t>
      </w:r>
      <w:r w:rsidR="00291319">
        <w:rPr>
          <w:lang w:val="en-US"/>
        </w:rPr>
        <w:t>)</w:t>
      </w:r>
      <w:r>
        <w:rPr>
          <w:lang w:val="en-US"/>
        </w:rPr>
        <w:t xml:space="preserve"> year with the condition of submission of an annual </w:t>
      </w:r>
      <w:r w:rsidR="00134DD7">
        <w:rPr>
          <w:lang w:val="en-US"/>
        </w:rPr>
        <w:t xml:space="preserve">progress </w:t>
      </w:r>
      <w:r>
        <w:rPr>
          <w:lang w:val="en-US"/>
        </w:rPr>
        <w:t xml:space="preserve">report. Annual reports are discussed </w:t>
      </w:r>
      <w:hyperlink w:anchor="_Annual_progress_reports" w:history="1">
        <w:r w:rsidRPr="00D222D1">
          <w:rPr>
            <w:rStyle w:val="Hyperlink"/>
            <w:lang w:val="en-US"/>
          </w:rPr>
          <w:t>below</w:t>
        </w:r>
      </w:hyperlink>
      <w:r>
        <w:rPr>
          <w:lang w:val="en-US"/>
        </w:rPr>
        <w:t>.</w:t>
      </w:r>
    </w:p>
    <w:p w14:paraId="32B603CF" w14:textId="77777777" w:rsidR="00D537C8" w:rsidRDefault="00D537C8" w:rsidP="00D537C8">
      <w:pPr>
        <w:pStyle w:val="NoSpacing"/>
        <w:rPr>
          <w:lang w:val="en-US"/>
        </w:rPr>
      </w:pPr>
    </w:p>
    <w:p w14:paraId="6B8DEB6C" w14:textId="2CA24BD6" w:rsidR="00D537C8" w:rsidRDefault="00D537C8" w:rsidP="00D537C8">
      <w:pPr>
        <w:pStyle w:val="NoSpacing"/>
        <w:rPr>
          <w:lang w:val="en-US"/>
        </w:rPr>
      </w:pPr>
      <w:r>
        <w:rPr>
          <w:lang w:val="en-US"/>
        </w:rPr>
        <w:t xml:space="preserve">In the case of outcome iv </w:t>
      </w:r>
      <w:r w:rsidR="00291319">
        <w:rPr>
          <w:lang w:val="en-US"/>
        </w:rPr>
        <w:t>(</w:t>
      </w:r>
      <w:r>
        <w:rPr>
          <w:lang w:val="en-US"/>
        </w:rPr>
        <w:t>listed above</w:t>
      </w:r>
      <w:r w:rsidR="00291319">
        <w:rPr>
          <w:lang w:val="en-US"/>
        </w:rPr>
        <w:t>)</w:t>
      </w:r>
      <w:r>
        <w:rPr>
          <w:lang w:val="en-US"/>
        </w:rPr>
        <w:t xml:space="preserve">, it is the duty of the relevant FBC to communicate the outcome with the PI and relevant project staff, in line with their internal procedures. </w:t>
      </w:r>
    </w:p>
    <w:p w14:paraId="5A163F63" w14:textId="77777777" w:rsidR="000867E9" w:rsidRDefault="000867E9" w:rsidP="00D537C8">
      <w:pPr>
        <w:pStyle w:val="NoSpacing"/>
        <w:rPr>
          <w:lang w:val="en-US"/>
        </w:rPr>
      </w:pPr>
    </w:p>
    <w:p w14:paraId="3D0B8E05" w14:textId="77777777" w:rsidR="000867E9" w:rsidRDefault="000867E9" w:rsidP="00D537C8">
      <w:pPr>
        <w:pStyle w:val="NoSpacing"/>
        <w:rPr>
          <w:lang w:val="en-US"/>
        </w:rPr>
      </w:pPr>
    </w:p>
    <w:p w14:paraId="42818D3F" w14:textId="7F1484EC" w:rsidR="00FA2B05" w:rsidRDefault="00FA2B05" w:rsidP="00C772AB">
      <w:pPr>
        <w:pStyle w:val="Heading1"/>
        <w:rPr>
          <w:lang w:val="en-US"/>
        </w:rPr>
      </w:pPr>
      <w:bookmarkStart w:id="15" w:name="_Toc159227235"/>
      <w:r>
        <w:rPr>
          <w:lang w:val="en-US"/>
        </w:rPr>
        <w:t>Amendments to active applications</w:t>
      </w:r>
      <w:bookmarkEnd w:id="15"/>
    </w:p>
    <w:p w14:paraId="047D8648" w14:textId="688DCC5B" w:rsidR="00FA2B05" w:rsidRDefault="00E639AF" w:rsidP="00FA2B05">
      <w:pPr>
        <w:pStyle w:val="NoSpacing"/>
        <w:rPr>
          <w:lang w:val="en-US"/>
        </w:rPr>
      </w:pPr>
      <w:r>
        <w:rPr>
          <w:lang w:val="en-US"/>
        </w:rPr>
        <w:t xml:space="preserve">Where </w:t>
      </w:r>
      <w:r w:rsidR="00134DD7">
        <w:rPr>
          <w:lang w:val="en-US"/>
        </w:rPr>
        <w:t>a research protocol require</w:t>
      </w:r>
      <w:r>
        <w:rPr>
          <w:lang w:val="en-US"/>
        </w:rPr>
        <w:t>s</w:t>
      </w:r>
      <w:r w:rsidR="00134DD7">
        <w:rPr>
          <w:lang w:val="en-US"/>
        </w:rPr>
        <w:t xml:space="preserve"> changes or amendments post</w:t>
      </w:r>
      <w:r w:rsidR="0017328F">
        <w:rPr>
          <w:lang w:val="en-US"/>
        </w:rPr>
        <w:t xml:space="preserve"> </w:t>
      </w:r>
      <w:r w:rsidR="00134DD7">
        <w:rPr>
          <w:lang w:val="en-US"/>
        </w:rPr>
        <w:t>IBC approval, the</w:t>
      </w:r>
      <w:r w:rsidR="003B2B3F">
        <w:rPr>
          <w:lang w:val="en-US"/>
        </w:rPr>
        <w:t>se</w:t>
      </w:r>
      <w:r w:rsidR="00134DD7">
        <w:rPr>
          <w:lang w:val="en-US"/>
        </w:rPr>
        <w:t xml:space="preserve"> </w:t>
      </w:r>
      <w:r w:rsidR="006A31B8">
        <w:rPr>
          <w:lang w:val="en-US"/>
        </w:rPr>
        <w:t xml:space="preserve">must be described in an amendment application which must be submitted to the </w:t>
      </w:r>
      <w:r w:rsidR="00037601">
        <w:rPr>
          <w:lang w:val="en-US"/>
        </w:rPr>
        <w:t>relevant FBC</w:t>
      </w:r>
      <w:r w:rsidR="006A31B8">
        <w:rPr>
          <w:lang w:val="en-US"/>
        </w:rPr>
        <w:t>.</w:t>
      </w:r>
      <w:r w:rsidR="00696BCD">
        <w:rPr>
          <w:lang w:val="en-US"/>
        </w:rPr>
        <w:t xml:space="preserve"> Amendment applications must contain the following:</w:t>
      </w:r>
    </w:p>
    <w:p w14:paraId="7EB132BC" w14:textId="3401B34E" w:rsidR="00134DD7" w:rsidRDefault="00134DD7" w:rsidP="00134DD7">
      <w:pPr>
        <w:pStyle w:val="NoSpacing"/>
        <w:numPr>
          <w:ilvl w:val="0"/>
          <w:numId w:val="16"/>
        </w:numPr>
        <w:rPr>
          <w:lang w:val="en-US"/>
        </w:rPr>
      </w:pPr>
      <w:r>
        <w:rPr>
          <w:lang w:val="en-US"/>
        </w:rPr>
        <w:t xml:space="preserve">PIs are expected to submit a cover letter describing the amendment as well as a completed application form </w:t>
      </w:r>
      <w:r w:rsidR="00037601">
        <w:rPr>
          <w:lang w:val="en-US"/>
        </w:rPr>
        <w:t>highlighting</w:t>
      </w:r>
      <w:r>
        <w:rPr>
          <w:lang w:val="en-US"/>
        </w:rPr>
        <w:t xml:space="preserve"> the proposed changes in the context of the entire project. </w:t>
      </w:r>
    </w:p>
    <w:p w14:paraId="71C62B88" w14:textId="487441C2" w:rsidR="00134DD7" w:rsidRDefault="00134DD7" w:rsidP="00134DD7">
      <w:pPr>
        <w:pStyle w:val="NoSpacing"/>
        <w:numPr>
          <w:ilvl w:val="0"/>
          <w:numId w:val="16"/>
        </w:numPr>
        <w:rPr>
          <w:lang w:val="en-US"/>
        </w:rPr>
      </w:pPr>
      <w:r>
        <w:rPr>
          <w:lang w:val="en-US"/>
        </w:rPr>
        <w:t>PIs are also expected to submit any additional supporting documentation</w:t>
      </w:r>
      <w:r w:rsidR="00037601">
        <w:rPr>
          <w:lang w:val="en-US"/>
        </w:rPr>
        <w:t>, where relevant</w:t>
      </w:r>
      <w:r>
        <w:rPr>
          <w:lang w:val="en-US"/>
        </w:rPr>
        <w:t xml:space="preserve">. </w:t>
      </w:r>
    </w:p>
    <w:p w14:paraId="594F9998" w14:textId="3F634BC0" w:rsidR="00134DD7" w:rsidRDefault="00134DD7" w:rsidP="00134DD7">
      <w:pPr>
        <w:pStyle w:val="NoSpacing"/>
        <w:numPr>
          <w:ilvl w:val="0"/>
          <w:numId w:val="16"/>
        </w:numPr>
        <w:rPr>
          <w:lang w:val="en-US"/>
        </w:rPr>
      </w:pPr>
      <w:r>
        <w:rPr>
          <w:lang w:val="en-US"/>
        </w:rPr>
        <w:t xml:space="preserve">PIs must make applications for amendments to their respective FBC, as outlined in </w:t>
      </w:r>
      <w:hyperlink w:anchor="_Submission_procedures" w:history="1">
        <w:r w:rsidRPr="00D222D1">
          <w:rPr>
            <w:rStyle w:val="Hyperlink"/>
            <w:lang w:val="en-US"/>
          </w:rPr>
          <w:t>section 3 above</w:t>
        </w:r>
      </w:hyperlink>
      <w:r>
        <w:rPr>
          <w:lang w:val="en-US"/>
        </w:rPr>
        <w:t xml:space="preserve">. </w:t>
      </w:r>
    </w:p>
    <w:p w14:paraId="08414AC5" w14:textId="73EFE3AC" w:rsidR="00134DD7" w:rsidRDefault="00134DD7" w:rsidP="00134DD7">
      <w:pPr>
        <w:pStyle w:val="NoSpacing"/>
        <w:numPr>
          <w:ilvl w:val="0"/>
          <w:numId w:val="16"/>
        </w:numPr>
        <w:rPr>
          <w:lang w:val="en-US"/>
        </w:rPr>
      </w:pPr>
      <w:r>
        <w:rPr>
          <w:lang w:val="en-US"/>
        </w:rPr>
        <w:lastRenderedPageBreak/>
        <w:t xml:space="preserve">Amendments will be reviewed by the IBC using the same process described in </w:t>
      </w:r>
      <w:hyperlink w:anchor="_Review_procedures_and" w:history="1">
        <w:r w:rsidRPr="0081258F">
          <w:rPr>
            <w:rStyle w:val="Hyperlink"/>
            <w:lang w:val="en-US"/>
          </w:rPr>
          <w:t xml:space="preserve">section </w:t>
        </w:r>
        <w:r w:rsidR="0081258F" w:rsidRPr="0081258F">
          <w:rPr>
            <w:rStyle w:val="Hyperlink"/>
            <w:lang w:val="en-US"/>
          </w:rPr>
          <w:t>7</w:t>
        </w:r>
        <w:r w:rsidRPr="0081258F">
          <w:rPr>
            <w:rStyle w:val="Hyperlink"/>
            <w:lang w:val="en-US"/>
          </w:rPr>
          <w:t xml:space="preserve"> above</w:t>
        </w:r>
      </w:hyperlink>
      <w:r>
        <w:rPr>
          <w:lang w:val="en-US"/>
        </w:rPr>
        <w:t xml:space="preserve">. </w:t>
      </w:r>
    </w:p>
    <w:p w14:paraId="60B6F296" w14:textId="2C494BA3" w:rsidR="00134DD7" w:rsidRDefault="00134DD7" w:rsidP="00134DD7">
      <w:pPr>
        <w:pStyle w:val="NoSpacing"/>
        <w:numPr>
          <w:ilvl w:val="0"/>
          <w:numId w:val="16"/>
        </w:numPr>
        <w:rPr>
          <w:lang w:val="en-US"/>
        </w:rPr>
      </w:pPr>
      <w:r>
        <w:rPr>
          <w:lang w:val="en-US"/>
        </w:rPr>
        <w:t xml:space="preserve">Outcomes of amendment applications will be </w:t>
      </w:r>
      <w:r w:rsidR="00037601">
        <w:rPr>
          <w:lang w:val="en-US"/>
        </w:rPr>
        <w:t xml:space="preserve">the same as </w:t>
      </w:r>
      <w:r>
        <w:rPr>
          <w:lang w:val="en-US"/>
        </w:rPr>
        <w:t xml:space="preserve">those described in </w:t>
      </w:r>
      <w:hyperlink w:anchor="_Types_and_communication" w:history="1">
        <w:r w:rsidRPr="0081258F">
          <w:rPr>
            <w:rStyle w:val="Hyperlink"/>
            <w:lang w:val="en-US"/>
          </w:rPr>
          <w:t xml:space="preserve">section </w:t>
        </w:r>
        <w:r w:rsidR="0081258F" w:rsidRPr="0081258F">
          <w:rPr>
            <w:rStyle w:val="Hyperlink"/>
            <w:lang w:val="en-US"/>
          </w:rPr>
          <w:t>8</w:t>
        </w:r>
        <w:r w:rsidRPr="0081258F">
          <w:rPr>
            <w:rStyle w:val="Hyperlink"/>
            <w:lang w:val="en-US"/>
          </w:rPr>
          <w:t xml:space="preserve"> above</w:t>
        </w:r>
      </w:hyperlink>
      <w:r>
        <w:rPr>
          <w:lang w:val="en-US"/>
        </w:rPr>
        <w:t xml:space="preserve">. </w:t>
      </w:r>
    </w:p>
    <w:p w14:paraId="64EC53E4" w14:textId="77777777" w:rsidR="00704BCE" w:rsidRDefault="00704BCE" w:rsidP="00FA2B05">
      <w:pPr>
        <w:pStyle w:val="NoSpacing"/>
        <w:rPr>
          <w:lang w:val="en-US"/>
        </w:rPr>
      </w:pPr>
    </w:p>
    <w:p w14:paraId="72CBF884" w14:textId="77777777" w:rsidR="00FA2B05" w:rsidRDefault="00FA2B05" w:rsidP="00FA2B05">
      <w:pPr>
        <w:pStyle w:val="NoSpacing"/>
        <w:rPr>
          <w:lang w:val="en-US"/>
        </w:rPr>
      </w:pPr>
    </w:p>
    <w:p w14:paraId="170C4149" w14:textId="04E5EF2E" w:rsidR="004F6D91" w:rsidRDefault="004F6D91" w:rsidP="00C772AB">
      <w:pPr>
        <w:pStyle w:val="Heading1"/>
        <w:rPr>
          <w:lang w:val="en-US"/>
        </w:rPr>
      </w:pPr>
      <w:bookmarkStart w:id="16" w:name="_Toc159227236"/>
      <w:r>
        <w:rPr>
          <w:lang w:val="en-US"/>
        </w:rPr>
        <w:t>Reporting</w:t>
      </w:r>
      <w:bookmarkEnd w:id="16"/>
    </w:p>
    <w:p w14:paraId="2844444A" w14:textId="0D1575B8" w:rsidR="004F6D91" w:rsidRPr="00EB7CC8" w:rsidRDefault="004F6D91" w:rsidP="00D222D1">
      <w:pPr>
        <w:pStyle w:val="Heading2"/>
        <w:numPr>
          <w:ilvl w:val="0"/>
          <w:numId w:val="8"/>
        </w:numPr>
      </w:pPr>
      <w:bookmarkStart w:id="17" w:name="_Annual_progress_reports"/>
      <w:bookmarkStart w:id="18" w:name="_Toc159227237"/>
      <w:bookmarkEnd w:id="17"/>
      <w:r w:rsidRPr="00EB7CC8">
        <w:t>Annual progress reports</w:t>
      </w:r>
      <w:bookmarkEnd w:id="18"/>
    </w:p>
    <w:p w14:paraId="6282B37D" w14:textId="2020BE51" w:rsidR="00A41EEA" w:rsidRDefault="00037601" w:rsidP="00A41EEA">
      <w:pPr>
        <w:pStyle w:val="NoSpacing"/>
        <w:numPr>
          <w:ilvl w:val="0"/>
          <w:numId w:val="17"/>
        </w:numPr>
        <w:rPr>
          <w:lang w:val="en-US"/>
        </w:rPr>
      </w:pPr>
      <w:r>
        <w:rPr>
          <w:lang w:val="en-US"/>
        </w:rPr>
        <w:t>An annual progress report (APR) must be submitted for e</w:t>
      </w:r>
      <w:r w:rsidR="00367AC7">
        <w:rPr>
          <w:lang w:val="en-US"/>
        </w:rPr>
        <w:t xml:space="preserve">ach </w:t>
      </w:r>
      <w:r>
        <w:rPr>
          <w:lang w:val="en-US"/>
        </w:rPr>
        <w:t xml:space="preserve">active, </w:t>
      </w:r>
      <w:r w:rsidR="00367AC7">
        <w:rPr>
          <w:lang w:val="en-US"/>
        </w:rPr>
        <w:t xml:space="preserve">approved IBC research protocol. </w:t>
      </w:r>
      <w:r w:rsidR="00A41EEA">
        <w:rPr>
          <w:lang w:val="en-US"/>
        </w:rPr>
        <w:t xml:space="preserve">It is expected that PIs or appropriate project staff make one APR submission per project. </w:t>
      </w:r>
    </w:p>
    <w:p w14:paraId="105CEA51" w14:textId="2F16BD66" w:rsidR="00FA2B05" w:rsidRDefault="00367AC7" w:rsidP="00A41EEA">
      <w:pPr>
        <w:pStyle w:val="NoSpacing"/>
        <w:numPr>
          <w:ilvl w:val="0"/>
          <w:numId w:val="17"/>
        </w:numPr>
        <w:rPr>
          <w:lang w:val="en-US"/>
        </w:rPr>
      </w:pPr>
      <w:r>
        <w:rPr>
          <w:lang w:val="en-US"/>
        </w:rPr>
        <w:t>The</w:t>
      </w:r>
      <w:r w:rsidR="00A41EEA">
        <w:rPr>
          <w:lang w:val="en-US"/>
        </w:rPr>
        <w:t xml:space="preserve"> </w:t>
      </w:r>
      <w:r w:rsidR="00037601">
        <w:rPr>
          <w:lang w:val="en-US"/>
        </w:rPr>
        <w:t>deadline</w:t>
      </w:r>
      <w:r>
        <w:rPr>
          <w:lang w:val="en-US"/>
        </w:rPr>
        <w:t xml:space="preserve"> for </w:t>
      </w:r>
      <w:r w:rsidR="00A41EEA">
        <w:rPr>
          <w:lang w:val="en-US"/>
        </w:rPr>
        <w:t>APRs</w:t>
      </w:r>
      <w:r>
        <w:rPr>
          <w:lang w:val="en-US"/>
        </w:rPr>
        <w:t xml:space="preserve"> is </w:t>
      </w:r>
      <w:r w:rsidRPr="00D80302">
        <w:rPr>
          <w:u w:val="single"/>
          <w:lang w:val="en-US"/>
        </w:rPr>
        <w:t>30 September</w:t>
      </w:r>
      <w:r w:rsidR="00037601">
        <w:rPr>
          <w:lang w:val="en-US"/>
        </w:rPr>
        <w:t xml:space="preserve"> every year (or the last working day in September where the 30</w:t>
      </w:r>
      <w:r w:rsidR="00037601" w:rsidRPr="00D80302">
        <w:rPr>
          <w:vertAlign w:val="superscript"/>
          <w:lang w:val="en-US"/>
        </w:rPr>
        <w:t>th</w:t>
      </w:r>
      <w:r w:rsidR="00037601">
        <w:rPr>
          <w:lang w:val="en-US"/>
        </w:rPr>
        <w:t xml:space="preserve"> falls on a weekend).</w:t>
      </w:r>
      <w:r w:rsidR="00A41EEA">
        <w:rPr>
          <w:lang w:val="en-US"/>
        </w:rPr>
        <w:t xml:space="preserve"> </w:t>
      </w:r>
    </w:p>
    <w:p w14:paraId="54BC01D2" w14:textId="57A0439B" w:rsidR="00367AC7" w:rsidRPr="00037601" w:rsidRDefault="00037601" w:rsidP="00037601">
      <w:pPr>
        <w:pStyle w:val="NoSpacing"/>
        <w:numPr>
          <w:ilvl w:val="0"/>
          <w:numId w:val="17"/>
        </w:numPr>
        <w:rPr>
          <w:lang w:val="en-US"/>
        </w:rPr>
      </w:pPr>
      <w:r>
        <w:rPr>
          <w:lang w:val="en-US"/>
        </w:rPr>
        <w:t xml:space="preserve">The date will be clearly communicated by the IBC Servicing Officer who </w:t>
      </w:r>
      <w:r w:rsidRPr="00037601">
        <w:rPr>
          <w:lang w:val="en-US"/>
        </w:rPr>
        <w:t xml:space="preserve">will send </w:t>
      </w:r>
      <w:r w:rsidR="00367AC7" w:rsidRPr="00037601">
        <w:rPr>
          <w:lang w:val="en-US"/>
        </w:rPr>
        <w:t>PIs and project staff a reminder</w:t>
      </w:r>
      <w:r w:rsidR="0068680B" w:rsidRPr="00037601">
        <w:rPr>
          <w:lang w:val="en-US"/>
        </w:rPr>
        <w:t xml:space="preserve"> </w:t>
      </w:r>
      <w:r w:rsidR="00367AC7" w:rsidRPr="00037601">
        <w:rPr>
          <w:lang w:val="en-US"/>
        </w:rPr>
        <w:t>to submit APRs approximately 4 weeks prior to the submission date</w:t>
      </w:r>
      <w:r>
        <w:rPr>
          <w:lang w:val="en-US"/>
        </w:rPr>
        <w:t>;</w:t>
      </w:r>
      <w:r w:rsidR="00367AC7" w:rsidRPr="00037601">
        <w:rPr>
          <w:lang w:val="en-US"/>
        </w:rPr>
        <w:t xml:space="preserve"> </w:t>
      </w:r>
      <w:r>
        <w:rPr>
          <w:lang w:val="en-US"/>
        </w:rPr>
        <w:t>follow-up</w:t>
      </w:r>
      <w:r w:rsidRPr="00037601">
        <w:rPr>
          <w:lang w:val="en-US"/>
        </w:rPr>
        <w:t xml:space="preserve"> </w:t>
      </w:r>
      <w:r w:rsidR="00367AC7" w:rsidRPr="00037601">
        <w:rPr>
          <w:lang w:val="en-US"/>
        </w:rPr>
        <w:t>reminders (2 weeks, 1 week</w:t>
      </w:r>
      <w:r>
        <w:rPr>
          <w:lang w:val="en-US"/>
        </w:rPr>
        <w:t>,</w:t>
      </w:r>
      <w:r w:rsidR="00367AC7" w:rsidRPr="00037601">
        <w:rPr>
          <w:lang w:val="en-US"/>
        </w:rPr>
        <w:t xml:space="preserve"> and 1 day) will also be sent</w:t>
      </w:r>
      <w:r>
        <w:rPr>
          <w:lang w:val="en-US"/>
        </w:rPr>
        <w:t xml:space="preserve"> closer to the deadline</w:t>
      </w:r>
      <w:r w:rsidR="00367AC7" w:rsidRPr="00037601">
        <w:rPr>
          <w:lang w:val="en-US"/>
        </w:rPr>
        <w:t>.</w:t>
      </w:r>
    </w:p>
    <w:p w14:paraId="51D83DF9" w14:textId="0F0C9C88" w:rsidR="00A41EEA" w:rsidRDefault="00A41EEA" w:rsidP="00A41EEA">
      <w:pPr>
        <w:pStyle w:val="NoSpacing"/>
        <w:numPr>
          <w:ilvl w:val="0"/>
          <w:numId w:val="17"/>
        </w:numPr>
        <w:rPr>
          <w:lang w:val="en-US"/>
        </w:rPr>
      </w:pPr>
      <w:r>
        <w:rPr>
          <w:lang w:val="en-US"/>
        </w:rPr>
        <w:t>APRs are submitted digitally</w:t>
      </w:r>
      <w:r w:rsidR="00037601">
        <w:rPr>
          <w:lang w:val="en-US"/>
        </w:rPr>
        <w:t xml:space="preserve"> via </w:t>
      </w:r>
      <w:r>
        <w:rPr>
          <w:lang w:val="en-US"/>
        </w:rPr>
        <w:t>a</w:t>
      </w:r>
      <w:r w:rsidR="001A0291">
        <w:rPr>
          <w:lang w:val="en-US"/>
        </w:rPr>
        <w:t>n</w:t>
      </w:r>
      <w:r>
        <w:rPr>
          <w:lang w:val="en-US"/>
        </w:rPr>
        <w:t xml:space="preserve"> MS</w:t>
      </w:r>
      <w:r w:rsidR="007C75D5">
        <w:rPr>
          <w:lang w:val="en-US"/>
        </w:rPr>
        <w:t xml:space="preserve"> </w:t>
      </w:r>
      <w:r>
        <w:rPr>
          <w:lang w:val="en-US"/>
        </w:rPr>
        <w:t>Form. The link to th</w:t>
      </w:r>
      <w:r w:rsidR="00037601">
        <w:rPr>
          <w:lang w:val="en-US"/>
        </w:rPr>
        <w:t>e</w:t>
      </w:r>
      <w:r>
        <w:rPr>
          <w:lang w:val="en-US"/>
        </w:rPr>
        <w:t xml:space="preserve"> form will be provided in the call for </w:t>
      </w:r>
      <w:r w:rsidR="00C064DC">
        <w:rPr>
          <w:lang w:val="en-US"/>
        </w:rPr>
        <w:t>APR</w:t>
      </w:r>
      <w:r w:rsidR="00037601">
        <w:rPr>
          <w:lang w:val="en-US"/>
        </w:rPr>
        <w:t>s</w:t>
      </w:r>
      <w:r w:rsidR="00C064DC">
        <w:rPr>
          <w:lang w:val="en-US"/>
        </w:rPr>
        <w:t xml:space="preserve"> </w:t>
      </w:r>
      <w:r>
        <w:rPr>
          <w:lang w:val="en-US"/>
        </w:rPr>
        <w:t xml:space="preserve">and </w:t>
      </w:r>
      <w:r w:rsidR="00037601">
        <w:rPr>
          <w:lang w:val="en-US"/>
        </w:rPr>
        <w:t xml:space="preserve">all </w:t>
      </w:r>
      <w:r>
        <w:rPr>
          <w:lang w:val="en-US"/>
        </w:rPr>
        <w:t xml:space="preserve">subsequent reminders. </w:t>
      </w:r>
    </w:p>
    <w:p w14:paraId="2F8AAB62" w14:textId="1479DE33" w:rsidR="0068680B" w:rsidRDefault="0068680B" w:rsidP="00A41EEA">
      <w:pPr>
        <w:pStyle w:val="NoSpacing"/>
        <w:numPr>
          <w:ilvl w:val="0"/>
          <w:numId w:val="17"/>
        </w:numPr>
        <w:rPr>
          <w:lang w:val="en-US"/>
        </w:rPr>
      </w:pPr>
      <w:r>
        <w:rPr>
          <w:lang w:val="en-US"/>
        </w:rPr>
        <w:t>Projects reviewed and approved at an FBC level (</w:t>
      </w:r>
      <w:r w:rsidRPr="007C75D5">
        <w:rPr>
          <w:i/>
          <w:iCs/>
          <w:lang w:val="en-US"/>
        </w:rPr>
        <w:t>i.e</w:t>
      </w:r>
      <w:r>
        <w:rPr>
          <w:lang w:val="en-US"/>
        </w:rPr>
        <w:t>., NOT projects escalated to the IBC), will follow the FBC annual reporting requirements.</w:t>
      </w:r>
    </w:p>
    <w:p w14:paraId="755673E1" w14:textId="649314DE" w:rsidR="00C064DC" w:rsidRDefault="00C064DC" w:rsidP="00A41EEA">
      <w:pPr>
        <w:pStyle w:val="NoSpacing"/>
        <w:numPr>
          <w:ilvl w:val="0"/>
          <w:numId w:val="17"/>
        </w:numPr>
        <w:rPr>
          <w:lang w:val="en-US"/>
        </w:rPr>
      </w:pPr>
      <w:r>
        <w:rPr>
          <w:lang w:val="en-US"/>
        </w:rPr>
        <w:t xml:space="preserve">During the APR submission, PIs will be asked if they want to renew/extend their IBC approval or close out the study. PIs are asked to make the </w:t>
      </w:r>
      <w:r w:rsidR="0081258F">
        <w:rPr>
          <w:lang w:val="en-US"/>
        </w:rPr>
        <w:t>relevant</w:t>
      </w:r>
      <w:r>
        <w:rPr>
          <w:lang w:val="en-US"/>
        </w:rPr>
        <w:t xml:space="preserve"> selection so that the </w:t>
      </w:r>
      <w:r w:rsidR="00037601">
        <w:rPr>
          <w:lang w:val="en-US"/>
        </w:rPr>
        <w:t xml:space="preserve">appropriate </w:t>
      </w:r>
      <w:r>
        <w:rPr>
          <w:lang w:val="en-US"/>
        </w:rPr>
        <w:t xml:space="preserve">letters can be issued by the IBC. </w:t>
      </w:r>
    </w:p>
    <w:p w14:paraId="0129605A" w14:textId="77777777" w:rsidR="00C064DC" w:rsidRDefault="00C064DC" w:rsidP="00C064DC">
      <w:pPr>
        <w:pStyle w:val="NoSpacing"/>
        <w:rPr>
          <w:lang w:val="en-US"/>
        </w:rPr>
      </w:pPr>
    </w:p>
    <w:p w14:paraId="68EB7DFF" w14:textId="4DBDB5B5" w:rsidR="00C064DC" w:rsidRDefault="00C064DC" w:rsidP="00C064DC">
      <w:pPr>
        <w:pStyle w:val="NoSpacing"/>
        <w:rPr>
          <w:lang w:val="en-US"/>
        </w:rPr>
      </w:pPr>
      <w:r>
        <w:rPr>
          <w:lang w:val="en-US"/>
        </w:rPr>
        <w:t xml:space="preserve">APRs will generally be considered </w:t>
      </w:r>
      <w:r w:rsidR="00037601">
        <w:rPr>
          <w:lang w:val="en-US"/>
        </w:rPr>
        <w:t xml:space="preserve">during </w:t>
      </w:r>
      <w:r>
        <w:rPr>
          <w:lang w:val="en-US"/>
        </w:rPr>
        <w:t xml:space="preserve">the October monthly meeting of </w:t>
      </w:r>
      <w:r w:rsidR="00037601">
        <w:rPr>
          <w:lang w:val="en-US"/>
        </w:rPr>
        <w:t>the IBC</w:t>
      </w:r>
      <w:r>
        <w:rPr>
          <w:lang w:val="en-US"/>
        </w:rPr>
        <w:t xml:space="preserve">. If it is not possible to consider the APRs </w:t>
      </w:r>
      <w:r w:rsidR="00037601">
        <w:rPr>
          <w:lang w:val="en-US"/>
        </w:rPr>
        <w:t xml:space="preserve">in </w:t>
      </w:r>
      <w:r>
        <w:rPr>
          <w:lang w:val="en-US"/>
        </w:rPr>
        <w:t xml:space="preserve">this meeting, the Chair may call a special meeting or issue a Chair’s Circular to manage the review of APRs. </w:t>
      </w:r>
    </w:p>
    <w:p w14:paraId="4782E9D8" w14:textId="29C9A987" w:rsidR="00C064DC" w:rsidRDefault="00C064DC" w:rsidP="00C064DC">
      <w:pPr>
        <w:pStyle w:val="NoSpacing"/>
        <w:numPr>
          <w:ilvl w:val="0"/>
          <w:numId w:val="18"/>
        </w:numPr>
        <w:rPr>
          <w:lang w:val="en-US"/>
        </w:rPr>
      </w:pPr>
      <w:r>
        <w:rPr>
          <w:lang w:val="en-US"/>
        </w:rPr>
        <w:t>At the meeting</w:t>
      </w:r>
      <w:r w:rsidR="00037601">
        <w:rPr>
          <w:lang w:val="en-US"/>
        </w:rPr>
        <w:t>,</w:t>
      </w:r>
      <w:r>
        <w:rPr>
          <w:lang w:val="en-US"/>
        </w:rPr>
        <w:t xml:space="preserve"> the IBC will consider the APRs in </w:t>
      </w:r>
      <w:r w:rsidR="00037601">
        <w:rPr>
          <w:lang w:val="en-US"/>
        </w:rPr>
        <w:t>two (</w:t>
      </w:r>
      <w:r>
        <w:rPr>
          <w:lang w:val="en-US"/>
        </w:rPr>
        <w:t>2</w:t>
      </w:r>
      <w:r w:rsidR="00037601">
        <w:rPr>
          <w:lang w:val="en-US"/>
        </w:rPr>
        <w:t>)</w:t>
      </w:r>
      <w:r>
        <w:rPr>
          <w:lang w:val="en-US"/>
        </w:rPr>
        <w:t xml:space="preserve"> separate batches. </w:t>
      </w:r>
    </w:p>
    <w:p w14:paraId="0A91E433" w14:textId="776DBCF7" w:rsidR="00C064DC" w:rsidRPr="00C064DC" w:rsidRDefault="00C064DC" w:rsidP="00C064DC">
      <w:pPr>
        <w:pStyle w:val="NoSpacing"/>
        <w:numPr>
          <w:ilvl w:val="1"/>
          <w:numId w:val="18"/>
        </w:numPr>
        <w:rPr>
          <w:lang w:val="en-US"/>
        </w:rPr>
      </w:pPr>
      <w:r>
        <w:rPr>
          <w:lang w:val="en-US"/>
        </w:rPr>
        <w:t xml:space="preserve">The first batch will be </w:t>
      </w:r>
      <w:r w:rsidRPr="00C064DC">
        <w:rPr>
          <w:lang w:val="en-US"/>
        </w:rPr>
        <w:t xml:space="preserve">projects requesting </w:t>
      </w:r>
      <w:r w:rsidRPr="007C75D5">
        <w:rPr>
          <w:u w:val="single"/>
          <w:lang w:val="en-US"/>
        </w:rPr>
        <w:t>renewal or continuation</w:t>
      </w:r>
      <w:r w:rsidRPr="00C064DC">
        <w:rPr>
          <w:lang w:val="en-US"/>
        </w:rPr>
        <w:t xml:space="preserve"> of a project.</w:t>
      </w:r>
    </w:p>
    <w:p w14:paraId="745D3093" w14:textId="38505E81" w:rsidR="00C064DC" w:rsidRDefault="00C064DC" w:rsidP="00C064DC">
      <w:pPr>
        <w:pStyle w:val="NoSpacing"/>
        <w:numPr>
          <w:ilvl w:val="1"/>
          <w:numId w:val="18"/>
        </w:numPr>
        <w:rPr>
          <w:lang w:val="en-US"/>
        </w:rPr>
      </w:pPr>
      <w:r>
        <w:rPr>
          <w:lang w:val="en-US"/>
        </w:rPr>
        <w:t xml:space="preserve">The second batch will </w:t>
      </w:r>
      <w:r w:rsidR="008F3320">
        <w:rPr>
          <w:lang w:val="en-US"/>
        </w:rPr>
        <w:t xml:space="preserve">be </w:t>
      </w:r>
      <w:r>
        <w:rPr>
          <w:lang w:val="en-US"/>
        </w:rPr>
        <w:t xml:space="preserve">projects requesting </w:t>
      </w:r>
      <w:r w:rsidRPr="007C75D5">
        <w:rPr>
          <w:u w:val="single"/>
          <w:lang w:val="en-US"/>
        </w:rPr>
        <w:t>closure</w:t>
      </w:r>
      <w:r>
        <w:rPr>
          <w:lang w:val="en-US"/>
        </w:rPr>
        <w:t>.</w:t>
      </w:r>
    </w:p>
    <w:p w14:paraId="13FC70D1" w14:textId="4ADE3068" w:rsidR="00C064DC" w:rsidRDefault="00C064DC" w:rsidP="00C064DC">
      <w:pPr>
        <w:pStyle w:val="NoSpacing"/>
        <w:numPr>
          <w:ilvl w:val="0"/>
          <w:numId w:val="18"/>
        </w:numPr>
        <w:rPr>
          <w:lang w:val="en-US"/>
        </w:rPr>
      </w:pPr>
      <w:r>
        <w:rPr>
          <w:lang w:val="en-US"/>
        </w:rPr>
        <w:t>After reviewing the relevant APRs, the IBC may recommend the following outcomes:</w:t>
      </w:r>
    </w:p>
    <w:p w14:paraId="50D091AC" w14:textId="79848B49" w:rsidR="00C064DC" w:rsidRDefault="00C064DC" w:rsidP="00C064DC">
      <w:pPr>
        <w:pStyle w:val="NoSpacing"/>
        <w:numPr>
          <w:ilvl w:val="1"/>
          <w:numId w:val="18"/>
        </w:numPr>
        <w:rPr>
          <w:lang w:val="en-US"/>
        </w:rPr>
      </w:pPr>
      <w:r>
        <w:rPr>
          <w:lang w:val="en-US"/>
        </w:rPr>
        <w:t xml:space="preserve">For projects requesting </w:t>
      </w:r>
      <w:r w:rsidRPr="003C73EB">
        <w:rPr>
          <w:u w:val="single"/>
          <w:lang w:val="en-US"/>
        </w:rPr>
        <w:t>renewal or continuation</w:t>
      </w:r>
    </w:p>
    <w:p w14:paraId="4D195479" w14:textId="033123D2" w:rsidR="00C064DC" w:rsidRDefault="00C064DC" w:rsidP="00C064DC">
      <w:pPr>
        <w:pStyle w:val="NoSpacing"/>
        <w:numPr>
          <w:ilvl w:val="2"/>
          <w:numId w:val="18"/>
        </w:numPr>
        <w:rPr>
          <w:lang w:val="en-US"/>
        </w:rPr>
      </w:pPr>
      <w:r>
        <w:rPr>
          <w:lang w:val="en-US"/>
        </w:rPr>
        <w:t xml:space="preserve">Approve the continuation request and grant approval for an additional year (until 31 December of </w:t>
      </w:r>
      <w:r w:rsidR="00037601">
        <w:rPr>
          <w:lang w:val="en-US"/>
        </w:rPr>
        <w:t>the following</w:t>
      </w:r>
      <w:r>
        <w:rPr>
          <w:lang w:val="en-US"/>
        </w:rPr>
        <w:t xml:space="preserve"> year).</w:t>
      </w:r>
    </w:p>
    <w:p w14:paraId="4F29ED2D" w14:textId="22E5A99C" w:rsidR="00C064DC" w:rsidRDefault="00C064DC" w:rsidP="00C064DC">
      <w:pPr>
        <w:pStyle w:val="NoSpacing"/>
        <w:numPr>
          <w:ilvl w:val="2"/>
          <w:numId w:val="18"/>
        </w:numPr>
        <w:rPr>
          <w:lang w:val="en-US"/>
        </w:rPr>
      </w:pPr>
      <w:bookmarkStart w:id="19" w:name="_Hlk148601999"/>
      <w:r>
        <w:rPr>
          <w:lang w:val="en-US"/>
        </w:rPr>
        <w:t xml:space="preserve">Require further information in the case of any biosafety incidents reported. The IBC may delay a decision </w:t>
      </w:r>
      <w:r w:rsidR="00037601">
        <w:rPr>
          <w:lang w:val="en-US"/>
        </w:rPr>
        <w:t xml:space="preserve">on </w:t>
      </w:r>
      <w:r>
        <w:rPr>
          <w:lang w:val="en-US"/>
        </w:rPr>
        <w:t xml:space="preserve">the outcome of any such projects until </w:t>
      </w:r>
      <w:r w:rsidR="00037601">
        <w:rPr>
          <w:lang w:val="en-US"/>
        </w:rPr>
        <w:t xml:space="preserve">it is </w:t>
      </w:r>
      <w:r>
        <w:rPr>
          <w:lang w:val="en-US"/>
        </w:rPr>
        <w:t xml:space="preserve">satisfied that the biosafety incident was appropriately addressed, and sufficient mitigating measures </w:t>
      </w:r>
      <w:r w:rsidR="00037601">
        <w:rPr>
          <w:lang w:val="en-US"/>
        </w:rPr>
        <w:t xml:space="preserve">have been put </w:t>
      </w:r>
      <w:r>
        <w:rPr>
          <w:lang w:val="en-US"/>
        </w:rPr>
        <w:t xml:space="preserve">in place to limit future incidents. The </w:t>
      </w:r>
      <w:r w:rsidR="003F39CD">
        <w:rPr>
          <w:lang w:val="en-US"/>
        </w:rPr>
        <w:t>I</w:t>
      </w:r>
      <w:r>
        <w:rPr>
          <w:lang w:val="en-US"/>
        </w:rPr>
        <w:t>BC may decide to renew the project approval for an additional year, or may halt the project if the biosafety risk is considered too great.</w:t>
      </w:r>
      <w:bookmarkEnd w:id="19"/>
      <w:r>
        <w:rPr>
          <w:lang w:val="en-US"/>
        </w:rPr>
        <w:t xml:space="preserve"> </w:t>
      </w:r>
    </w:p>
    <w:p w14:paraId="28742EC2" w14:textId="428B8FC6" w:rsidR="00C064DC" w:rsidRDefault="00C064DC" w:rsidP="00C064DC">
      <w:pPr>
        <w:pStyle w:val="NoSpacing"/>
        <w:numPr>
          <w:ilvl w:val="1"/>
          <w:numId w:val="18"/>
        </w:numPr>
        <w:rPr>
          <w:lang w:val="en-US"/>
        </w:rPr>
      </w:pPr>
      <w:bookmarkStart w:id="20" w:name="_Hlk148602252"/>
      <w:r>
        <w:rPr>
          <w:lang w:val="en-US"/>
        </w:rPr>
        <w:t xml:space="preserve">For projects requesting </w:t>
      </w:r>
      <w:r w:rsidRPr="003C73EB">
        <w:rPr>
          <w:u w:val="single"/>
          <w:lang w:val="en-US"/>
        </w:rPr>
        <w:t>closure</w:t>
      </w:r>
      <w:bookmarkEnd w:id="20"/>
    </w:p>
    <w:p w14:paraId="3FDD6DA1" w14:textId="3AEF5AAB" w:rsidR="00C064DC" w:rsidRDefault="00C064DC" w:rsidP="00C064DC">
      <w:pPr>
        <w:pStyle w:val="NoSpacing"/>
        <w:numPr>
          <w:ilvl w:val="2"/>
          <w:numId w:val="18"/>
        </w:numPr>
        <w:rPr>
          <w:lang w:val="en-US"/>
        </w:rPr>
      </w:pPr>
      <w:r>
        <w:rPr>
          <w:lang w:val="en-US"/>
        </w:rPr>
        <w:t>Approval of the closure</w:t>
      </w:r>
      <w:r w:rsidR="00037601">
        <w:rPr>
          <w:lang w:val="en-US"/>
        </w:rPr>
        <w:t>.</w:t>
      </w:r>
    </w:p>
    <w:p w14:paraId="1DCBC113" w14:textId="28AAB6A9" w:rsidR="00704BCE" w:rsidRDefault="003F39CD" w:rsidP="00FA2B05">
      <w:pPr>
        <w:pStyle w:val="NoSpacing"/>
        <w:numPr>
          <w:ilvl w:val="2"/>
          <w:numId w:val="18"/>
        </w:numPr>
        <w:rPr>
          <w:lang w:val="en-US"/>
        </w:rPr>
      </w:pPr>
      <w:r w:rsidRPr="003F39CD">
        <w:rPr>
          <w:lang w:val="en-US"/>
        </w:rPr>
        <w:t xml:space="preserve">Require further information in the case of any biosafety incidents reported. The IBC may delay formally closing such projects until </w:t>
      </w:r>
      <w:r w:rsidR="00037601">
        <w:rPr>
          <w:lang w:val="en-US"/>
        </w:rPr>
        <w:t>it is</w:t>
      </w:r>
      <w:r w:rsidRPr="003F39CD">
        <w:rPr>
          <w:lang w:val="en-US"/>
        </w:rPr>
        <w:t xml:space="preserve"> satisfied that the biosafety incident was appropriately addressed</w:t>
      </w:r>
      <w:r>
        <w:rPr>
          <w:lang w:val="en-US"/>
        </w:rPr>
        <w:t>.</w:t>
      </w:r>
    </w:p>
    <w:p w14:paraId="50359F6F" w14:textId="53571AB8" w:rsidR="003F39CD" w:rsidRDefault="003F39CD" w:rsidP="003F39CD">
      <w:pPr>
        <w:pStyle w:val="NoSpacing"/>
        <w:numPr>
          <w:ilvl w:val="0"/>
          <w:numId w:val="18"/>
        </w:numPr>
        <w:rPr>
          <w:lang w:val="en-US"/>
        </w:rPr>
      </w:pPr>
      <w:r>
        <w:rPr>
          <w:lang w:val="en-US"/>
        </w:rPr>
        <w:t xml:space="preserve">Once the IBC has </w:t>
      </w:r>
      <w:r w:rsidR="00037601">
        <w:rPr>
          <w:lang w:val="en-US"/>
        </w:rPr>
        <w:t xml:space="preserve">made </w:t>
      </w:r>
      <w:r>
        <w:rPr>
          <w:lang w:val="en-US"/>
        </w:rPr>
        <w:t>a decision on each of the APRs submitted for active projects, the Servicing Officer will record the decision in the minutes.</w:t>
      </w:r>
    </w:p>
    <w:p w14:paraId="58C303AD" w14:textId="22C75FAD" w:rsidR="003F39CD" w:rsidRDefault="003F39CD" w:rsidP="003F39CD">
      <w:pPr>
        <w:pStyle w:val="NoSpacing"/>
        <w:numPr>
          <w:ilvl w:val="0"/>
          <w:numId w:val="18"/>
        </w:numPr>
        <w:rPr>
          <w:lang w:val="en-US"/>
        </w:rPr>
      </w:pPr>
      <w:r>
        <w:rPr>
          <w:lang w:val="en-US"/>
        </w:rPr>
        <w:t xml:space="preserve">In collaboration with the IBC Chair, the Servicing Officer will prepare the appropriate letters for the APR submissions. </w:t>
      </w:r>
    </w:p>
    <w:p w14:paraId="184B2DC3" w14:textId="716D2E37" w:rsidR="003F39CD" w:rsidRDefault="003F39CD" w:rsidP="003F39CD">
      <w:pPr>
        <w:pStyle w:val="NoSpacing"/>
        <w:numPr>
          <w:ilvl w:val="1"/>
          <w:numId w:val="18"/>
        </w:numPr>
        <w:rPr>
          <w:lang w:val="en-US"/>
        </w:rPr>
      </w:pPr>
      <w:r>
        <w:rPr>
          <w:lang w:val="en-US"/>
        </w:rPr>
        <w:t xml:space="preserve">For projects requesting </w:t>
      </w:r>
      <w:r w:rsidRPr="003C73EB">
        <w:rPr>
          <w:u w:val="single"/>
          <w:lang w:val="en-US"/>
        </w:rPr>
        <w:t>renewal or continuation</w:t>
      </w:r>
    </w:p>
    <w:p w14:paraId="11A0A400" w14:textId="551D0FEB" w:rsidR="003F39CD" w:rsidRDefault="003F39CD" w:rsidP="003F39CD">
      <w:pPr>
        <w:pStyle w:val="NoSpacing"/>
        <w:numPr>
          <w:ilvl w:val="2"/>
          <w:numId w:val="18"/>
        </w:numPr>
        <w:rPr>
          <w:lang w:val="en-US"/>
        </w:rPr>
      </w:pPr>
      <w:r>
        <w:rPr>
          <w:lang w:val="en-US"/>
        </w:rPr>
        <w:t>A continuation letter will be issued grant</w:t>
      </w:r>
      <w:r w:rsidR="00037601">
        <w:rPr>
          <w:lang w:val="en-US"/>
        </w:rPr>
        <w:t>ing</w:t>
      </w:r>
      <w:r>
        <w:rPr>
          <w:lang w:val="en-US"/>
        </w:rPr>
        <w:t xml:space="preserve"> the study approval until 31 December of the following year</w:t>
      </w:r>
      <w:r w:rsidR="00037601">
        <w:rPr>
          <w:lang w:val="en-US"/>
        </w:rPr>
        <w:t>; t</w:t>
      </w:r>
      <w:r>
        <w:rPr>
          <w:lang w:val="en-US"/>
        </w:rPr>
        <w:t>he letter will also outline the requirement to submit an APR in the following year.</w:t>
      </w:r>
    </w:p>
    <w:p w14:paraId="58F51760" w14:textId="4484399C" w:rsidR="003F39CD" w:rsidRDefault="003F39CD" w:rsidP="003F39CD">
      <w:pPr>
        <w:pStyle w:val="NoSpacing"/>
        <w:numPr>
          <w:ilvl w:val="2"/>
          <w:numId w:val="18"/>
        </w:numPr>
        <w:rPr>
          <w:lang w:val="en-US"/>
        </w:rPr>
      </w:pPr>
      <w:r>
        <w:rPr>
          <w:lang w:val="en-US"/>
        </w:rPr>
        <w:t>Any conditions place</w:t>
      </w:r>
      <w:r w:rsidR="00037601">
        <w:rPr>
          <w:lang w:val="en-US"/>
        </w:rPr>
        <w:t>d</w:t>
      </w:r>
      <w:r>
        <w:rPr>
          <w:lang w:val="en-US"/>
        </w:rPr>
        <w:t xml:space="preserve"> on the continuation of the project will be noted in the letter.</w:t>
      </w:r>
    </w:p>
    <w:p w14:paraId="1D6DD307" w14:textId="65DDC51F" w:rsidR="003F39CD" w:rsidRDefault="003F39CD" w:rsidP="003F39CD">
      <w:pPr>
        <w:pStyle w:val="NoSpacing"/>
        <w:numPr>
          <w:ilvl w:val="2"/>
          <w:numId w:val="18"/>
        </w:numPr>
        <w:rPr>
          <w:lang w:val="en-US"/>
        </w:rPr>
      </w:pPr>
      <w:r>
        <w:rPr>
          <w:lang w:val="en-US"/>
        </w:rPr>
        <w:lastRenderedPageBreak/>
        <w:t>The IBC’s database will be updated to reflect the new study approval/expiration date and the subsequent APR date.</w:t>
      </w:r>
    </w:p>
    <w:p w14:paraId="202A2450" w14:textId="54A1950E" w:rsidR="003F39CD" w:rsidRDefault="003F39CD" w:rsidP="003F39CD">
      <w:pPr>
        <w:pStyle w:val="NoSpacing"/>
        <w:numPr>
          <w:ilvl w:val="1"/>
          <w:numId w:val="18"/>
        </w:numPr>
        <w:rPr>
          <w:lang w:val="en-US"/>
        </w:rPr>
      </w:pPr>
      <w:r>
        <w:rPr>
          <w:lang w:val="en-US"/>
        </w:rPr>
        <w:t xml:space="preserve">For projects requesting </w:t>
      </w:r>
      <w:r w:rsidRPr="003C73EB">
        <w:rPr>
          <w:u w:val="single"/>
          <w:lang w:val="en-US"/>
        </w:rPr>
        <w:t>closure</w:t>
      </w:r>
    </w:p>
    <w:p w14:paraId="2EDFAA12" w14:textId="139AF310" w:rsidR="003F39CD" w:rsidRDefault="003F39CD" w:rsidP="003F39CD">
      <w:pPr>
        <w:pStyle w:val="NoSpacing"/>
        <w:numPr>
          <w:ilvl w:val="2"/>
          <w:numId w:val="18"/>
        </w:numPr>
        <w:rPr>
          <w:lang w:val="en-US"/>
        </w:rPr>
      </w:pPr>
      <w:r>
        <w:rPr>
          <w:lang w:val="en-US"/>
        </w:rPr>
        <w:t>A closure letter will be issued to the study.</w:t>
      </w:r>
    </w:p>
    <w:p w14:paraId="466AB0C2" w14:textId="6CEE3858" w:rsidR="003F39CD" w:rsidRPr="003F39CD" w:rsidRDefault="003F39CD" w:rsidP="003F39CD">
      <w:pPr>
        <w:pStyle w:val="NoSpacing"/>
        <w:numPr>
          <w:ilvl w:val="2"/>
          <w:numId w:val="18"/>
        </w:numPr>
        <w:rPr>
          <w:lang w:val="en-US"/>
        </w:rPr>
      </w:pPr>
      <w:r>
        <w:rPr>
          <w:lang w:val="en-US"/>
        </w:rPr>
        <w:t>The study will be closed and removed from the IBC’s active protocols database.</w:t>
      </w:r>
    </w:p>
    <w:p w14:paraId="11A40E66" w14:textId="77777777" w:rsidR="00FA2B05" w:rsidRDefault="00FA2B05" w:rsidP="00FA2B05">
      <w:pPr>
        <w:pStyle w:val="NoSpacing"/>
        <w:rPr>
          <w:lang w:val="en-US"/>
        </w:rPr>
      </w:pPr>
    </w:p>
    <w:p w14:paraId="2BEDF93C" w14:textId="4E7671E9" w:rsidR="00FA2B05" w:rsidRDefault="00FA2B05" w:rsidP="00D222D1">
      <w:pPr>
        <w:pStyle w:val="Heading2"/>
        <w:numPr>
          <w:ilvl w:val="0"/>
          <w:numId w:val="8"/>
        </w:numPr>
      </w:pPr>
      <w:bookmarkStart w:id="21" w:name="_Toc159227238"/>
      <w:r>
        <w:t>Research protocol closure reports</w:t>
      </w:r>
      <w:bookmarkEnd w:id="21"/>
    </w:p>
    <w:p w14:paraId="18B61C9C" w14:textId="382E4923" w:rsidR="00FA2B05" w:rsidRDefault="000D6808" w:rsidP="00E071C3">
      <w:pPr>
        <w:pStyle w:val="NoSpacing"/>
        <w:rPr>
          <w:lang w:val="en-US"/>
        </w:rPr>
      </w:pPr>
      <w:r>
        <w:rPr>
          <w:lang w:val="en-US"/>
        </w:rPr>
        <w:t xml:space="preserve">Should </w:t>
      </w:r>
      <w:r w:rsidR="00037601">
        <w:rPr>
          <w:lang w:val="en-US"/>
        </w:rPr>
        <w:t xml:space="preserve">a PI of </w:t>
      </w:r>
      <w:r>
        <w:rPr>
          <w:lang w:val="en-US"/>
        </w:rPr>
        <w:t xml:space="preserve">an active protocol wish to make </w:t>
      </w:r>
      <w:r w:rsidR="00037601">
        <w:rPr>
          <w:lang w:val="en-US"/>
        </w:rPr>
        <w:t xml:space="preserve">a </w:t>
      </w:r>
      <w:r>
        <w:rPr>
          <w:lang w:val="en-US"/>
        </w:rPr>
        <w:t>study closure application outside of the annual reporting period</w:t>
      </w:r>
      <w:r w:rsidR="00037601">
        <w:rPr>
          <w:lang w:val="en-US"/>
        </w:rPr>
        <w:t>,</w:t>
      </w:r>
      <w:r>
        <w:rPr>
          <w:lang w:val="en-US"/>
        </w:rPr>
        <w:t xml:space="preserve"> </w:t>
      </w:r>
      <w:r w:rsidR="0081258F">
        <w:rPr>
          <w:lang w:val="en-US"/>
        </w:rPr>
        <w:t>they</w:t>
      </w:r>
      <w:r>
        <w:rPr>
          <w:lang w:val="en-US"/>
        </w:rPr>
        <w:t xml:space="preserve"> should contact the IBC Servicing Officer directly (Ms Suraya Azam, </w:t>
      </w:r>
      <w:hyperlink r:id="rId15" w:history="1">
        <w:r w:rsidRPr="00404B19">
          <w:rPr>
            <w:rStyle w:val="Hyperlink"/>
            <w:lang w:val="en-US"/>
          </w:rPr>
          <w:t>suraya.azam@uct.ac.za</w:t>
        </w:r>
      </w:hyperlink>
      <w:r>
        <w:rPr>
          <w:lang w:val="en-US"/>
        </w:rPr>
        <w:t>). PIs will be required to complete a form similar to the APR form (the link will be supplied by the Servicing Officer at the time of the request) and submit a covering letter. The Servicing Officer will place the item on the next available meeting agenda.</w:t>
      </w:r>
    </w:p>
    <w:p w14:paraId="120348C4" w14:textId="77777777" w:rsidR="00704BCE" w:rsidRDefault="00704BCE" w:rsidP="00E071C3">
      <w:pPr>
        <w:pStyle w:val="NoSpacing"/>
        <w:rPr>
          <w:lang w:val="en-US"/>
        </w:rPr>
      </w:pPr>
    </w:p>
    <w:p w14:paraId="133F97D6" w14:textId="77777777" w:rsidR="00FA2B05" w:rsidRDefault="00FA2B05" w:rsidP="00E071C3">
      <w:pPr>
        <w:pStyle w:val="NoSpacing"/>
        <w:rPr>
          <w:lang w:val="en-US"/>
        </w:rPr>
      </w:pPr>
    </w:p>
    <w:p w14:paraId="015E5AAF" w14:textId="761594E1" w:rsidR="004F6D91" w:rsidRDefault="00FA2B05" w:rsidP="00C772AB">
      <w:pPr>
        <w:pStyle w:val="Heading1"/>
        <w:rPr>
          <w:lang w:val="en-US"/>
        </w:rPr>
      </w:pPr>
      <w:bookmarkStart w:id="22" w:name="_Toc159227239"/>
      <w:r>
        <w:rPr>
          <w:lang w:val="en-US"/>
        </w:rPr>
        <w:t>Monitoring of this SOP</w:t>
      </w:r>
      <w:bookmarkEnd w:id="22"/>
    </w:p>
    <w:p w14:paraId="7E04FFF3" w14:textId="2F6C4B6A" w:rsidR="00FA2B05" w:rsidRDefault="000D6808" w:rsidP="00E071C3">
      <w:pPr>
        <w:pStyle w:val="NoSpacing"/>
        <w:rPr>
          <w:lang w:val="en-US"/>
        </w:rPr>
      </w:pPr>
      <w:r>
        <w:rPr>
          <w:lang w:val="en-US"/>
        </w:rPr>
        <w:t xml:space="preserve">The SOP should be viewed as a living document, which describes active processes and procedures. It will be purposefully reviewed for possible updates every two years, following approval by the IBC. </w:t>
      </w:r>
    </w:p>
    <w:p w14:paraId="5B90A5BF" w14:textId="77777777" w:rsidR="000D6808" w:rsidRDefault="000D6808" w:rsidP="00E071C3">
      <w:pPr>
        <w:pStyle w:val="NoSpacing"/>
        <w:rPr>
          <w:lang w:val="en-US"/>
        </w:rPr>
      </w:pPr>
    </w:p>
    <w:p w14:paraId="6BD7F538" w14:textId="2F54A5D7" w:rsidR="000D6808" w:rsidRDefault="000D6808" w:rsidP="00E071C3">
      <w:pPr>
        <w:pStyle w:val="NoSpacing"/>
        <w:rPr>
          <w:lang w:val="en-US"/>
        </w:rPr>
      </w:pPr>
      <w:r>
        <w:rPr>
          <w:lang w:val="en-US"/>
        </w:rPr>
        <w:t xml:space="preserve">It may also be the case that </w:t>
      </w:r>
      <w:r w:rsidR="00FF62C6">
        <w:rPr>
          <w:lang w:val="en-US"/>
        </w:rPr>
        <w:t>processes and procedures</w:t>
      </w:r>
      <w:r>
        <w:rPr>
          <w:lang w:val="en-US"/>
        </w:rPr>
        <w:t xml:space="preserve"> change outside of the regular review process</w:t>
      </w:r>
      <w:r w:rsidR="00037601">
        <w:rPr>
          <w:lang w:val="en-US"/>
        </w:rPr>
        <w:t>;</w:t>
      </w:r>
      <w:r w:rsidR="00FF62C6">
        <w:rPr>
          <w:lang w:val="en-US"/>
        </w:rPr>
        <w:t xml:space="preserve"> if this is the case, this SOP will be updated as needed. </w:t>
      </w:r>
    </w:p>
    <w:p w14:paraId="20B62639" w14:textId="77777777" w:rsidR="00FF62C6" w:rsidRDefault="00FF62C6" w:rsidP="00E071C3">
      <w:pPr>
        <w:pStyle w:val="NoSpacing"/>
        <w:rPr>
          <w:lang w:val="en-US"/>
        </w:rPr>
      </w:pPr>
    </w:p>
    <w:p w14:paraId="1C5355C6" w14:textId="06D97D26" w:rsidR="00FF62C6" w:rsidRPr="00037601" w:rsidRDefault="00FF62C6" w:rsidP="00E071C3">
      <w:pPr>
        <w:pStyle w:val="NoSpacing"/>
        <w:rPr>
          <w:szCs w:val="20"/>
          <w:lang w:val="en-US"/>
        </w:rPr>
      </w:pPr>
      <w:r w:rsidRPr="00037601">
        <w:rPr>
          <w:szCs w:val="20"/>
          <w:lang w:val="en-US"/>
        </w:rPr>
        <w:t>The IBC Servicing Officer, in collaboration with the IBC Chair and ORI Servicing and Compliance team</w:t>
      </w:r>
      <w:r w:rsidR="00037601" w:rsidRPr="00037601">
        <w:rPr>
          <w:szCs w:val="20"/>
          <w:lang w:val="en-US"/>
        </w:rPr>
        <w:t>,</w:t>
      </w:r>
      <w:r w:rsidRPr="00037601">
        <w:rPr>
          <w:szCs w:val="20"/>
          <w:lang w:val="en-US"/>
        </w:rPr>
        <w:t xml:space="preserve"> </w:t>
      </w:r>
      <w:r w:rsidR="00037601" w:rsidRPr="00037601">
        <w:rPr>
          <w:szCs w:val="20"/>
          <w:lang w:val="en-US"/>
        </w:rPr>
        <w:t xml:space="preserve">is </w:t>
      </w:r>
      <w:r w:rsidRPr="00037601">
        <w:rPr>
          <w:szCs w:val="20"/>
          <w:lang w:val="en-US"/>
        </w:rPr>
        <w:t xml:space="preserve">responsible for reviewing and updating this document. </w:t>
      </w:r>
    </w:p>
    <w:p w14:paraId="4DD4DA4C" w14:textId="77777777" w:rsidR="00FF62C6" w:rsidRPr="00037601" w:rsidRDefault="00FF62C6" w:rsidP="00E071C3">
      <w:pPr>
        <w:pStyle w:val="NoSpacing"/>
        <w:rPr>
          <w:szCs w:val="20"/>
          <w:lang w:val="en-US"/>
        </w:rPr>
      </w:pPr>
    </w:p>
    <w:p w14:paraId="74952EBB" w14:textId="77777777" w:rsidR="00FF62C6" w:rsidRPr="00037601" w:rsidRDefault="00FF62C6" w:rsidP="00E071C3">
      <w:pPr>
        <w:pStyle w:val="NoSpacing"/>
        <w:rPr>
          <w:szCs w:val="20"/>
          <w:lang w:val="en-US"/>
        </w:rPr>
      </w:pPr>
    </w:p>
    <w:p w14:paraId="09C70C93" w14:textId="33534FD4" w:rsidR="00FF62C6" w:rsidRPr="007C75D5" w:rsidRDefault="00FF62C6" w:rsidP="00C772AB">
      <w:pPr>
        <w:pStyle w:val="Heading1"/>
        <w:rPr>
          <w:lang w:val="en-US"/>
        </w:rPr>
      </w:pPr>
      <w:bookmarkStart w:id="23" w:name="_Toc159227240"/>
      <w:r w:rsidRPr="007C75D5">
        <w:rPr>
          <w:lang w:val="en-US"/>
        </w:rPr>
        <w:t>Authorship and attribution</w:t>
      </w:r>
      <w:bookmarkEnd w:id="23"/>
    </w:p>
    <w:p w14:paraId="581495EB" w14:textId="338887EC" w:rsidR="00FF62C6" w:rsidRPr="00037601" w:rsidRDefault="00FF62C6" w:rsidP="00E071C3">
      <w:pPr>
        <w:pStyle w:val="NoSpacing"/>
        <w:rPr>
          <w:szCs w:val="20"/>
          <w:lang w:val="en-US"/>
        </w:rPr>
      </w:pPr>
      <w:r w:rsidRPr="00037601">
        <w:rPr>
          <w:szCs w:val="20"/>
          <w:lang w:val="en-US"/>
        </w:rPr>
        <w:t>This document was originally authored by Mrs Paula Saner (Manager, Office of Research Integrity, Servicing and Compliance team). It was reviewed</w:t>
      </w:r>
      <w:r w:rsidR="00DA3251" w:rsidRPr="00037601">
        <w:rPr>
          <w:szCs w:val="20"/>
          <w:lang w:val="en-US"/>
        </w:rPr>
        <w:t xml:space="preserve"> and</w:t>
      </w:r>
      <w:r w:rsidRPr="00037601">
        <w:rPr>
          <w:szCs w:val="20"/>
          <w:lang w:val="en-US"/>
        </w:rPr>
        <w:t xml:space="preserve"> </w:t>
      </w:r>
      <w:r w:rsidR="003A0AE6" w:rsidRPr="00037601">
        <w:rPr>
          <w:szCs w:val="20"/>
          <w:lang w:val="en-US"/>
        </w:rPr>
        <w:t>edited</w:t>
      </w:r>
      <w:r w:rsidR="00DA3251" w:rsidRPr="00037601">
        <w:rPr>
          <w:szCs w:val="20"/>
          <w:lang w:val="en-US"/>
        </w:rPr>
        <w:t xml:space="preserve"> by the IBC to make it fit-for-purpose and</w:t>
      </w:r>
      <w:r w:rsidR="0017328F">
        <w:rPr>
          <w:szCs w:val="20"/>
          <w:lang w:val="en-US"/>
        </w:rPr>
        <w:t>,</w:t>
      </w:r>
      <w:r w:rsidR="00DA3251" w:rsidRPr="00037601">
        <w:rPr>
          <w:szCs w:val="20"/>
          <w:lang w:val="en-US"/>
        </w:rPr>
        <w:t xml:space="preserve"> finally, </w:t>
      </w:r>
      <w:r w:rsidRPr="00037601">
        <w:rPr>
          <w:szCs w:val="20"/>
          <w:lang w:val="en-US"/>
        </w:rPr>
        <w:t xml:space="preserve">approved by the IBC. </w:t>
      </w:r>
    </w:p>
    <w:p w14:paraId="35B0316A" w14:textId="77777777" w:rsidR="00FA2B05" w:rsidRDefault="00FA2B05" w:rsidP="00E071C3">
      <w:pPr>
        <w:pStyle w:val="NoSpacing"/>
        <w:rPr>
          <w:lang w:val="en-US"/>
        </w:rPr>
      </w:pPr>
    </w:p>
    <w:p w14:paraId="21AE2E81" w14:textId="77777777" w:rsidR="00E071C3" w:rsidRPr="00E071C3" w:rsidRDefault="00E071C3" w:rsidP="00E071C3">
      <w:pPr>
        <w:pStyle w:val="NoSpacing"/>
        <w:rPr>
          <w:lang w:val="en-US"/>
        </w:rPr>
      </w:pPr>
    </w:p>
    <w:sectPr w:rsidR="00E071C3" w:rsidRPr="00E071C3" w:rsidSect="00E55DBB">
      <w:footerReference w:type="default" r:id="rId16"/>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8A88" w14:textId="77777777" w:rsidR="00E55DBB" w:rsidRDefault="00E55DBB" w:rsidP="00FA2B05">
      <w:pPr>
        <w:spacing w:after="0" w:line="240" w:lineRule="auto"/>
      </w:pPr>
      <w:r>
        <w:separator/>
      </w:r>
    </w:p>
  </w:endnote>
  <w:endnote w:type="continuationSeparator" w:id="0">
    <w:p w14:paraId="390D785D" w14:textId="77777777" w:rsidR="00E55DBB" w:rsidRDefault="00E55DBB" w:rsidP="00FA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0477252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D9DF5DE" w14:textId="56232FF6" w:rsidR="00FA2B05" w:rsidRPr="00FA2B05" w:rsidRDefault="00FA2B05" w:rsidP="00FA2B05">
            <w:pPr>
              <w:pStyle w:val="Footer"/>
              <w:jc w:val="right"/>
              <w:rPr>
                <w:sz w:val="18"/>
                <w:szCs w:val="18"/>
              </w:rPr>
            </w:pPr>
            <w:r w:rsidRPr="00FA2B05">
              <w:rPr>
                <w:sz w:val="18"/>
                <w:szCs w:val="18"/>
              </w:rPr>
              <w:t xml:space="preserve">Page </w:t>
            </w:r>
            <w:r w:rsidRPr="00FA2B05">
              <w:rPr>
                <w:b/>
                <w:bCs/>
                <w:sz w:val="18"/>
                <w:szCs w:val="18"/>
              </w:rPr>
              <w:fldChar w:fldCharType="begin"/>
            </w:r>
            <w:r w:rsidRPr="00FA2B05">
              <w:rPr>
                <w:b/>
                <w:bCs/>
                <w:sz w:val="18"/>
                <w:szCs w:val="18"/>
              </w:rPr>
              <w:instrText xml:space="preserve"> PAGE </w:instrText>
            </w:r>
            <w:r w:rsidRPr="00FA2B05">
              <w:rPr>
                <w:b/>
                <w:bCs/>
                <w:sz w:val="18"/>
                <w:szCs w:val="18"/>
              </w:rPr>
              <w:fldChar w:fldCharType="separate"/>
            </w:r>
            <w:r w:rsidRPr="00FA2B05">
              <w:rPr>
                <w:b/>
                <w:bCs/>
                <w:noProof/>
                <w:sz w:val="18"/>
                <w:szCs w:val="18"/>
              </w:rPr>
              <w:t>2</w:t>
            </w:r>
            <w:r w:rsidRPr="00FA2B05">
              <w:rPr>
                <w:b/>
                <w:bCs/>
                <w:sz w:val="18"/>
                <w:szCs w:val="18"/>
              </w:rPr>
              <w:fldChar w:fldCharType="end"/>
            </w:r>
            <w:r w:rsidRPr="00FA2B05">
              <w:rPr>
                <w:sz w:val="18"/>
                <w:szCs w:val="18"/>
              </w:rPr>
              <w:t xml:space="preserve"> of </w:t>
            </w:r>
            <w:r w:rsidRPr="00FA2B05">
              <w:rPr>
                <w:b/>
                <w:bCs/>
                <w:sz w:val="18"/>
                <w:szCs w:val="18"/>
              </w:rPr>
              <w:fldChar w:fldCharType="begin"/>
            </w:r>
            <w:r w:rsidRPr="00FA2B05">
              <w:rPr>
                <w:b/>
                <w:bCs/>
                <w:sz w:val="18"/>
                <w:szCs w:val="18"/>
              </w:rPr>
              <w:instrText xml:space="preserve"> NUMPAGES  </w:instrText>
            </w:r>
            <w:r w:rsidRPr="00FA2B05">
              <w:rPr>
                <w:b/>
                <w:bCs/>
                <w:sz w:val="18"/>
                <w:szCs w:val="18"/>
              </w:rPr>
              <w:fldChar w:fldCharType="separate"/>
            </w:r>
            <w:r w:rsidRPr="00FA2B05">
              <w:rPr>
                <w:b/>
                <w:bCs/>
                <w:noProof/>
                <w:sz w:val="18"/>
                <w:szCs w:val="18"/>
              </w:rPr>
              <w:t>2</w:t>
            </w:r>
            <w:r w:rsidRPr="00FA2B05">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E9A6" w14:textId="77777777" w:rsidR="00E55DBB" w:rsidRDefault="00E55DBB" w:rsidP="00FA2B05">
      <w:pPr>
        <w:spacing w:after="0" w:line="240" w:lineRule="auto"/>
      </w:pPr>
      <w:r>
        <w:separator/>
      </w:r>
    </w:p>
  </w:footnote>
  <w:footnote w:type="continuationSeparator" w:id="0">
    <w:p w14:paraId="011A2A9C" w14:textId="77777777" w:rsidR="00E55DBB" w:rsidRDefault="00E55DBB" w:rsidP="00FA2B05">
      <w:pPr>
        <w:spacing w:after="0" w:line="240" w:lineRule="auto"/>
      </w:pPr>
      <w:r>
        <w:continuationSeparator/>
      </w:r>
    </w:p>
  </w:footnote>
  <w:footnote w:id="1">
    <w:p w14:paraId="1B994803" w14:textId="704279C9" w:rsidR="00BB1FA4" w:rsidRPr="00BB1FA4" w:rsidRDefault="00BB1FA4" w:rsidP="00BB1FA4">
      <w:pPr>
        <w:pStyle w:val="NoSpacing"/>
        <w:rPr>
          <w:sz w:val="16"/>
          <w:szCs w:val="16"/>
          <w:lang w:val="en-US"/>
        </w:rPr>
      </w:pPr>
      <w:r w:rsidRPr="00BB1FA4">
        <w:rPr>
          <w:rStyle w:val="FootnoteReference"/>
          <w:sz w:val="16"/>
          <w:szCs w:val="16"/>
        </w:rPr>
        <w:footnoteRef/>
      </w:r>
      <w:r w:rsidRPr="00BB1FA4">
        <w:rPr>
          <w:sz w:val="16"/>
          <w:szCs w:val="16"/>
        </w:rPr>
        <w:t xml:space="preserve"> Taken from the NIH: </w:t>
      </w:r>
      <w:hyperlink r:id="rId1" w:history="1">
        <w:r w:rsidRPr="00BB1FA4">
          <w:rPr>
            <w:rStyle w:val="Hyperlink"/>
            <w:sz w:val="16"/>
            <w:szCs w:val="16"/>
          </w:rPr>
          <w:t>https://policymanual.nih.gov/3035</w:t>
        </w:r>
      </w:hyperlink>
      <w:r w:rsidRPr="00BB1FA4">
        <w:rPr>
          <w:sz w:val="16"/>
          <w:szCs w:val="16"/>
        </w:rPr>
        <w:t xml:space="preserve"> </w:t>
      </w:r>
    </w:p>
  </w:footnote>
  <w:footnote w:id="2">
    <w:p w14:paraId="259BF7C2" w14:textId="4A68E02E" w:rsidR="00BB1FA4" w:rsidRPr="00BB1FA4" w:rsidRDefault="00BB1FA4" w:rsidP="00BB1FA4">
      <w:pPr>
        <w:pStyle w:val="NoSpacing"/>
        <w:rPr>
          <w:sz w:val="16"/>
          <w:szCs w:val="16"/>
        </w:rPr>
      </w:pPr>
      <w:r w:rsidRPr="00BB1FA4">
        <w:rPr>
          <w:rStyle w:val="FootnoteReference"/>
          <w:sz w:val="16"/>
          <w:szCs w:val="16"/>
        </w:rPr>
        <w:footnoteRef/>
      </w:r>
      <w:r w:rsidRPr="00BB1FA4">
        <w:rPr>
          <w:sz w:val="16"/>
          <w:szCs w:val="16"/>
        </w:rPr>
        <w:t xml:space="preserve"> Taken from the NIH: </w:t>
      </w:r>
      <w:hyperlink r:id="rId2" w:history="1">
        <w:r w:rsidRPr="00BB1FA4">
          <w:rPr>
            <w:rStyle w:val="Hyperlink"/>
            <w:sz w:val="16"/>
            <w:szCs w:val="16"/>
            <w:lang w:val="en-US"/>
          </w:rPr>
          <w:t>https://www.genome.gov/genetics-glossary/Genetically-Modified-Organism</w:t>
        </w:r>
      </w:hyperlink>
      <w:r w:rsidRPr="00BB1FA4">
        <w:rPr>
          <w:sz w:val="16"/>
          <w:szCs w:val="16"/>
        </w:rPr>
        <w:t xml:space="preserve"> </w:t>
      </w:r>
    </w:p>
  </w:footnote>
  <w:footnote w:id="3">
    <w:p w14:paraId="5922A211" w14:textId="4BEC5930" w:rsidR="0055094C" w:rsidRPr="00BB1FA4" w:rsidRDefault="0055094C" w:rsidP="00BB1FA4">
      <w:pPr>
        <w:pStyle w:val="NoSpacing"/>
        <w:rPr>
          <w:sz w:val="16"/>
          <w:szCs w:val="16"/>
        </w:rPr>
      </w:pPr>
      <w:r w:rsidRPr="00BB1FA4">
        <w:rPr>
          <w:rStyle w:val="FootnoteReference"/>
          <w:sz w:val="16"/>
          <w:szCs w:val="16"/>
        </w:rPr>
        <w:footnoteRef/>
      </w:r>
      <w:r w:rsidRPr="00BB1FA4">
        <w:rPr>
          <w:sz w:val="16"/>
          <w:szCs w:val="16"/>
        </w:rPr>
        <w:t xml:space="preserve"> Taken from the NIH: </w:t>
      </w:r>
      <w:hyperlink r:id="rId3" w:history="1">
        <w:r w:rsidRPr="00BB1FA4">
          <w:rPr>
            <w:rStyle w:val="Hyperlink"/>
            <w:sz w:val="16"/>
            <w:szCs w:val="16"/>
            <w:lang w:val="en-US"/>
          </w:rPr>
          <w:t>https://toolkit.ncats.nih.gov/glossary/principal-investigator/</w:t>
        </w:r>
      </w:hyperlink>
      <w:r w:rsidRPr="00BB1FA4">
        <w:rPr>
          <w:sz w:val="16"/>
          <w:szCs w:val="16"/>
        </w:rPr>
        <w:t xml:space="preserve"> </w:t>
      </w:r>
    </w:p>
  </w:footnote>
  <w:footnote w:id="4">
    <w:p w14:paraId="51E94910" w14:textId="452657E2" w:rsidR="0055094C" w:rsidRPr="00BB1FA4" w:rsidRDefault="0055094C" w:rsidP="00BB1FA4">
      <w:pPr>
        <w:pStyle w:val="NoSpacing"/>
        <w:rPr>
          <w:sz w:val="16"/>
          <w:szCs w:val="16"/>
        </w:rPr>
      </w:pPr>
      <w:r w:rsidRPr="00BB1FA4">
        <w:rPr>
          <w:rStyle w:val="FootnoteReference"/>
          <w:sz w:val="16"/>
          <w:szCs w:val="16"/>
        </w:rPr>
        <w:footnoteRef/>
      </w:r>
      <w:r w:rsidRPr="00BB1FA4">
        <w:rPr>
          <w:sz w:val="16"/>
          <w:szCs w:val="16"/>
        </w:rPr>
        <w:t xml:space="preserve"> Taken from the NIH: </w:t>
      </w:r>
      <w:hyperlink r:id="rId4" w:history="1">
        <w:r w:rsidRPr="00BB1FA4">
          <w:rPr>
            <w:rStyle w:val="Hyperlink"/>
            <w:sz w:val="16"/>
            <w:szCs w:val="16"/>
            <w:lang w:val="en-US"/>
          </w:rPr>
          <w:t>https://toolkit.ncats.nih.gov/glossary/principal-investigator/</w:t>
        </w:r>
      </w:hyperlink>
      <w:r w:rsidRPr="00BB1FA4">
        <w:rPr>
          <w:sz w:val="16"/>
          <w:szCs w:val="16"/>
        </w:rPr>
        <w:t xml:space="preserve"> (emphasis added)</w:t>
      </w:r>
    </w:p>
  </w:footnote>
  <w:footnote w:id="5">
    <w:p w14:paraId="3BC41085" w14:textId="4D4EBD78" w:rsidR="00D642F6" w:rsidRPr="00BB1FA4" w:rsidRDefault="00D642F6" w:rsidP="00BB1FA4">
      <w:pPr>
        <w:pStyle w:val="NoSpacing"/>
        <w:rPr>
          <w:sz w:val="16"/>
          <w:szCs w:val="16"/>
        </w:rPr>
      </w:pPr>
      <w:r w:rsidRPr="00BB1FA4">
        <w:rPr>
          <w:rStyle w:val="FootnoteReference"/>
          <w:sz w:val="16"/>
          <w:szCs w:val="16"/>
        </w:rPr>
        <w:footnoteRef/>
      </w:r>
      <w:r w:rsidRPr="00BB1FA4">
        <w:rPr>
          <w:sz w:val="16"/>
          <w:szCs w:val="16"/>
        </w:rPr>
        <w:t xml:space="preserve"> Taken from the NIH: </w:t>
      </w:r>
      <w:hyperlink r:id="rId5" w:history="1">
        <w:r w:rsidRPr="00BB1FA4">
          <w:rPr>
            <w:rStyle w:val="Hyperlink"/>
            <w:sz w:val="16"/>
            <w:szCs w:val="16"/>
            <w:lang w:val="en-US"/>
          </w:rPr>
          <w:t>https://policymanual.nih.gov/3035</w:t>
        </w:r>
      </w:hyperlink>
      <w:r w:rsidRPr="00BB1FA4">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43B"/>
    <w:multiLevelType w:val="hybridMultilevel"/>
    <w:tmpl w:val="6DEC6124"/>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BF7C07"/>
    <w:multiLevelType w:val="hybridMultilevel"/>
    <w:tmpl w:val="CEF29F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D71481F"/>
    <w:multiLevelType w:val="hybridMultilevel"/>
    <w:tmpl w:val="47B0B9A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F52999"/>
    <w:multiLevelType w:val="hybridMultilevel"/>
    <w:tmpl w:val="04349E3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BD72BD9"/>
    <w:multiLevelType w:val="hybridMultilevel"/>
    <w:tmpl w:val="3C7232AE"/>
    <w:lvl w:ilvl="0" w:tplc="1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60097"/>
    <w:multiLevelType w:val="hybridMultilevel"/>
    <w:tmpl w:val="8BCECD00"/>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D8D251F"/>
    <w:multiLevelType w:val="hybridMultilevel"/>
    <w:tmpl w:val="3FDE845C"/>
    <w:lvl w:ilvl="0" w:tplc="38CA24DC">
      <w:start w:val="1"/>
      <w:numFmt w:val="lowerLetter"/>
      <w:pStyle w:val="Heading2"/>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2E3B467F"/>
    <w:multiLevelType w:val="hybridMultilevel"/>
    <w:tmpl w:val="90F449BA"/>
    <w:lvl w:ilvl="0" w:tplc="F476FBD8">
      <w:start w:val="1"/>
      <w:numFmt w:val="decimal"/>
      <w:pStyle w:val="Heading1"/>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6FD360F"/>
    <w:multiLevelType w:val="hybridMultilevel"/>
    <w:tmpl w:val="190C56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3A1F01D0"/>
    <w:multiLevelType w:val="hybridMultilevel"/>
    <w:tmpl w:val="74426DC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B56231B"/>
    <w:multiLevelType w:val="hybridMultilevel"/>
    <w:tmpl w:val="EB8624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4855A2F"/>
    <w:multiLevelType w:val="hybridMultilevel"/>
    <w:tmpl w:val="04BAB3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3412E9E"/>
    <w:multiLevelType w:val="hybridMultilevel"/>
    <w:tmpl w:val="53E0538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50031D3"/>
    <w:multiLevelType w:val="hybridMultilevel"/>
    <w:tmpl w:val="49D042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CA273A3"/>
    <w:multiLevelType w:val="hybridMultilevel"/>
    <w:tmpl w:val="29B21D7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6406ED8"/>
    <w:multiLevelType w:val="hybridMultilevel"/>
    <w:tmpl w:val="580A1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39602C"/>
    <w:multiLevelType w:val="hybridMultilevel"/>
    <w:tmpl w:val="968E555A"/>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10238242">
    <w:abstractNumId w:val="15"/>
  </w:num>
  <w:num w:numId="2" w16cid:durableId="599143137">
    <w:abstractNumId w:val="7"/>
  </w:num>
  <w:num w:numId="3" w16cid:durableId="387846228">
    <w:abstractNumId w:val="1"/>
  </w:num>
  <w:num w:numId="4" w16cid:durableId="1041787200">
    <w:abstractNumId w:val="5"/>
  </w:num>
  <w:num w:numId="5" w16cid:durableId="1444496582">
    <w:abstractNumId w:val="6"/>
  </w:num>
  <w:num w:numId="6" w16cid:durableId="1753311646">
    <w:abstractNumId w:val="4"/>
  </w:num>
  <w:num w:numId="7" w16cid:durableId="1995719744">
    <w:abstractNumId w:val="6"/>
  </w:num>
  <w:num w:numId="8" w16cid:durableId="1196383329">
    <w:abstractNumId w:val="6"/>
    <w:lvlOverride w:ilvl="0">
      <w:startOverride w:val="1"/>
    </w:lvlOverride>
  </w:num>
  <w:num w:numId="9" w16cid:durableId="1814637584">
    <w:abstractNumId w:val="6"/>
  </w:num>
  <w:num w:numId="10" w16cid:durableId="1753817719">
    <w:abstractNumId w:val="14"/>
  </w:num>
  <w:num w:numId="11" w16cid:durableId="952636528">
    <w:abstractNumId w:val="10"/>
  </w:num>
  <w:num w:numId="12" w16cid:durableId="707681447">
    <w:abstractNumId w:val="9"/>
  </w:num>
  <w:num w:numId="13" w16cid:durableId="1677462337">
    <w:abstractNumId w:val="16"/>
  </w:num>
  <w:num w:numId="14" w16cid:durableId="1919897915">
    <w:abstractNumId w:val="2"/>
  </w:num>
  <w:num w:numId="15" w16cid:durableId="709914635">
    <w:abstractNumId w:val="3"/>
  </w:num>
  <w:num w:numId="16" w16cid:durableId="1616208170">
    <w:abstractNumId w:val="12"/>
  </w:num>
  <w:num w:numId="17" w16cid:durableId="233469321">
    <w:abstractNumId w:val="13"/>
  </w:num>
  <w:num w:numId="18" w16cid:durableId="479268594">
    <w:abstractNumId w:val="0"/>
  </w:num>
  <w:num w:numId="19" w16cid:durableId="1207061416">
    <w:abstractNumId w:val="8"/>
  </w:num>
  <w:num w:numId="20" w16cid:durableId="53625588">
    <w:abstractNumId w:val="11"/>
  </w:num>
  <w:num w:numId="21" w16cid:durableId="150983317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C3"/>
    <w:rsid w:val="00011E82"/>
    <w:rsid w:val="00016D5D"/>
    <w:rsid w:val="00026F81"/>
    <w:rsid w:val="00037601"/>
    <w:rsid w:val="000417DC"/>
    <w:rsid w:val="000867E9"/>
    <w:rsid w:val="000A09A0"/>
    <w:rsid w:val="000D6808"/>
    <w:rsid w:val="000F7B93"/>
    <w:rsid w:val="001213D6"/>
    <w:rsid w:val="001277DE"/>
    <w:rsid w:val="00134DD7"/>
    <w:rsid w:val="0017328F"/>
    <w:rsid w:val="001868EF"/>
    <w:rsid w:val="001A0291"/>
    <w:rsid w:val="001C15E7"/>
    <w:rsid w:val="001D1453"/>
    <w:rsid w:val="00207FDC"/>
    <w:rsid w:val="00217D25"/>
    <w:rsid w:val="002338D8"/>
    <w:rsid w:val="002908EC"/>
    <w:rsid w:val="00291049"/>
    <w:rsid w:val="00291319"/>
    <w:rsid w:val="002B2B79"/>
    <w:rsid w:val="002E0B70"/>
    <w:rsid w:val="00310505"/>
    <w:rsid w:val="00327FE5"/>
    <w:rsid w:val="00356B70"/>
    <w:rsid w:val="003669F1"/>
    <w:rsid w:val="00367AC7"/>
    <w:rsid w:val="00382169"/>
    <w:rsid w:val="003A0AE6"/>
    <w:rsid w:val="003B2B3F"/>
    <w:rsid w:val="003C2D43"/>
    <w:rsid w:val="003C73EB"/>
    <w:rsid w:val="003D4E98"/>
    <w:rsid w:val="003D67FF"/>
    <w:rsid w:val="003E17F3"/>
    <w:rsid w:val="003F39CD"/>
    <w:rsid w:val="004027AB"/>
    <w:rsid w:val="004128AA"/>
    <w:rsid w:val="00443405"/>
    <w:rsid w:val="0044365A"/>
    <w:rsid w:val="0046392C"/>
    <w:rsid w:val="00472E56"/>
    <w:rsid w:val="0047691B"/>
    <w:rsid w:val="004C50C0"/>
    <w:rsid w:val="004C6ADF"/>
    <w:rsid w:val="004F6D91"/>
    <w:rsid w:val="00505AE5"/>
    <w:rsid w:val="00541A78"/>
    <w:rsid w:val="005451B8"/>
    <w:rsid w:val="0055094C"/>
    <w:rsid w:val="00574917"/>
    <w:rsid w:val="005D298D"/>
    <w:rsid w:val="005D50A6"/>
    <w:rsid w:val="00604D21"/>
    <w:rsid w:val="00611B26"/>
    <w:rsid w:val="006331AF"/>
    <w:rsid w:val="006339DE"/>
    <w:rsid w:val="00661EF1"/>
    <w:rsid w:val="0068680B"/>
    <w:rsid w:val="00696BCD"/>
    <w:rsid w:val="006A2B52"/>
    <w:rsid w:val="006A31B8"/>
    <w:rsid w:val="006A651B"/>
    <w:rsid w:val="006B2411"/>
    <w:rsid w:val="006C419A"/>
    <w:rsid w:val="006D7525"/>
    <w:rsid w:val="006F72F7"/>
    <w:rsid w:val="00704BCE"/>
    <w:rsid w:val="00711D01"/>
    <w:rsid w:val="0073116E"/>
    <w:rsid w:val="00736CF9"/>
    <w:rsid w:val="007402A0"/>
    <w:rsid w:val="00747EBD"/>
    <w:rsid w:val="007801EC"/>
    <w:rsid w:val="007876E9"/>
    <w:rsid w:val="007A055C"/>
    <w:rsid w:val="007A0BD5"/>
    <w:rsid w:val="007B03EE"/>
    <w:rsid w:val="007B0C7D"/>
    <w:rsid w:val="007C75D5"/>
    <w:rsid w:val="007F1B68"/>
    <w:rsid w:val="00802580"/>
    <w:rsid w:val="008122C5"/>
    <w:rsid w:val="0081258F"/>
    <w:rsid w:val="008D09E5"/>
    <w:rsid w:val="008F2359"/>
    <w:rsid w:val="008F3320"/>
    <w:rsid w:val="00901CBF"/>
    <w:rsid w:val="00906795"/>
    <w:rsid w:val="00906CAA"/>
    <w:rsid w:val="00912EEF"/>
    <w:rsid w:val="009E2935"/>
    <w:rsid w:val="009F031B"/>
    <w:rsid w:val="00A41EEA"/>
    <w:rsid w:val="00A45FBB"/>
    <w:rsid w:val="00AB0E39"/>
    <w:rsid w:val="00AE33B0"/>
    <w:rsid w:val="00B0011B"/>
    <w:rsid w:val="00B46E4E"/>
    <w:rsid w:val="00B95471"/>
    <w:rsid w:val="00BB1FA4"/>
    <w:rsid w:val="00BC18F5"/>
    <w:rsid w:val="00BD1214"/>
    <w:rsid w:val="00BE1143"/>
    <w:rsid w:val="00C064DC"/>
    <w:rsid w:val="00C102D6"/>
    <w:rsid w:val="00C12A1B"/>
    <w:rsid w:val="00C772AB"/>
    <w:rsid w:val="00CD31BB"/>
    <w:rsid w:val="00CD5C89"/>
    <w:rsid w:val="00CE0C13"/>
    <w:rsid w:val="00D222D1"/>
    <w:rsid w:val="00D537C8"/>
    <w:rsid w:val="00D642F6"/>
    <w:rsid w:val="00D80302"/>
    <w:rsid w:val="00D91BC0"/>
    <w:rsid w:val="00DA1DE4"/>
    <w:rsid w:val="00DA3251"/>
    <w:rsid w:val="00DD425A"/>
    <w:rsid w:val="00DE7A43"/>
    <w:rsid w:val="00E071C3"/>
    <w:rsid w:val="00E459AA"/>
    <w:rsid w:val="00E55DBB"/>
    <w:rsid w:val="00E60A1C"/>
    <w:rsid w:val="00E639AF"/>
    <w:rsid w:val="00EB7CC8"/>
    <w:rsid w:val="00F05D7F"/>
    <w:rsid w:val="00F77B1F"/>
    <w:rsid w:val="00F8543D"/>
    <w:rsid w:val="00FA2B05"/>
    <w:rsid w:val="00FB54A2"/>
    <w:rsid w:val="00FF62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134C"/>
  <w15:chartTrackingRefBased/>
  <w15:docId w15:val="{5095CCC8-E9DC-4A4D-B717-8099C276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05"/>
    <w:rPr>
      <w:rFonts w:ascii="Segoe UI" w:hAnsi="Segoe UI"/>
      <w:kern w:val="0"/>
      <w:sz w:val="20"/>
      <w14:ligatures w14:val="none"/>
    </w:rPr>
  </w:style>
  <w:style w:type="paragraph" w:styleId="Heading1">
    <w:name w:val="heading 1"/>
    <w:basedOn w:val="Normal"/>
    <w:next w:val="Normal"/>
    <w:link w:val="Heading1Char"/>
    <w:autoRedefine/>
    <w:uiPriority w:val="9"/>
    <w:qFormat/>
    <w:rsid w:val="00C772AB"/>
    <w:pPr>
      <w:keepNext/>
      <w:keepLines/>
      <w:numPr>
        <w:numId w:val="2"/>
      </w:numPr>
      <w:spacing w:before="240" w:after="0"/>
      <w:ind w:left="284"/>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D222D1"/>
    <w:pPr>
      <w:keepNext/>
      <w:keepLines/>
      <w:numPr>
        <w:numId w:val="5"/>
      </w:numPr>
      <w:spacing w:before="40" w:after="0"/>
      <w:outlineLvl w:val="1"/>
    </w:pPr>
    <w:rPr>
      <w:rFonts w:eastAsiaTheme="majorEastAsia" w:cstheme="majorBidi"/>
      <w:i/>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143"/>
    <w:pPr>
      <w:spacing w:after="0" w:line="240" w:lineRule="auto"/>
      <w:jc w:val="both"/>
    </w:pPr>
    <w:rPr>
      <w:rFonts w:ascii="Segoe UI" w:hAnsi="Segoe UI"/>
      <w:sz w:val="20"/>
      <w:szCs w:val="24"/>
      <w:lang w:val="en-GB"/>
    </w:rPr>
  </w:style>
  <w:style w:type="paragraph" w:styleId="Title">
    <w:name w:val="Title"/>
    <w:basedOn w:val="Normal"/>
    <w:next w:val="Normal"/>
    <w:link w:val="TitleChar"/>
    <w:autoRedefine/>
    <w:uiPriority w:val="10"/>
    <w:qFormat/>
    <w:rsid w:val="00CE0C13"/>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CE0C13"/>
    <w:rPr>
      <w:rFonts w:ascii="Segoe UI" w:eastAsiaTheme="majorEastAsia" w:hAnsi="Segoe UI" w:cstheme="majorBidi"/>
      <w:spacing w:val="-10"/>
      <w:kern w:val="28"/>
      <w:sz w:val="48"/>
      <w:szCs w:val="56"/>
      <w14:ligatures w14:val="none"/>
    </w:rPr>
  </w:style>
  <w:style w:type="character" w:customStyle="1" w:styleId="Heading1Char">
    <w:name w:val="Heading 1 Char"/>
    <w:basedOn w:val="DefaultParagraphFont"/>
    <w:link w:val="Heading1"/>
    <w:uiPriority w:val="9"/>
    <w:rsid w:val="00C772AB"/>
    <w:rPr>
      <w:rFonts w:ascii="Segoe UI" w:eastAsiaTheme="majorEastAsia" w:hAnsi="Segoe UI" w:cstheme="majorBidi"/>
      <w:b/>
      <w:kern w:val="0"/>
      <w:sz w:val="32"/>
      <w:szCs w:val="32"/>
      <w14:ligatures w14:val="none"/>
    </w:rPr>
  </w:style>
  <w:style w:type="character" w:customStyle="1" w:styleId="Heading2Char">
    <w:name w:val="Heading 2 Char"/>
    <w:basedOn w:val="DefaultParagraphFont"/>
    <w:link w:val="Heading2"/>
    <w:uiPriority w:val="9"/>
    <w:rsid w:val="00D222D1"/>
    <w:rPr>
      <w:rFonts w:ascii="Segoe UI" w:eastAsiaTheme="majorEastAsia" w:hAnsi="Segoe UI" w:cstheme="majorBidi"/>
      <w:i/>
      <w:kern w:val="0"/>
      <w:sz w:val="24"/>
      <w:szCs w:val="26"/>
      <w:lang w:val="en-US"/>
      <w14:ligatures w14:val="none"/>
    </w:rPr>
  </w:style>
  <w:style w:type="table" w:customStyle="1" w:styleId="TableGrid1">
    <w:name w:val="Table Grid1"/>
    <w:basedOn w:val="TableNormal"/>
    <w:next w:val="TableGrid"/>
    <w:uiPriority w:val="39"/>
    <w:rsid w:val="00E071C3"/>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05"/>
    <w:rPr>
      <w:rFonts w:ascii="Segoe UI" w:hAnsi="Segoe UI"/>
      <w:kern w:val="0"/>
      <w:sz w:val="20"/>
      <w14:ligatures w14:val="none"/>
    </w:rPr>
  </w:style>
  <w:style w:type="paragraph" w:styleId="Footer">
    <w:name w:val="footer"/>
    <w:basedOn w:val="Normal"/>
    <w:link w:val="FooterChar"/>
    <w:uiPriority w:val="99"/>
    <w:unhideWhenUsed/>
    <w:rsid w:val="00FA2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05"/>
    <w:rPr>
      <w:rFonts w:ascii="Segoe UI" w:hAnsi="Segoe UI"/>
      <w:kern w:val="0"/>
      <w:sz w:val="20"/>
      <w14:ligatures w14:val="none"/>
    </w:rPr>
  </w:style>
  <w:style w:type="paragraph" w:styleId="TOCHeading">
    <w:name w:val="TOC Heading"/>
    <w:basedOn w:val="Heading1"/>
    <w:next w:val="Normal"/>
    <w:uiPriority w:val="39"/>
    <w:unhideWhenUsed/>
    <w:qFormat/>
    <w:rsid w:val="00FA2B05"/>
    <w:pPr>
      <w:numPr>
        <w:numId w:val="0"/>
      </w:num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FA2B05"/>
    <w:pPr>
      <w:spacing w:after="100"/>
    </w:pPr>
  </w:style>
  <w:style w:type="paragraph" w:styleId="TOC2">
    <w:name w:val="toc 2"/>
    <w:basedOn w:val="Normal"/>
    <w:next w:val="Normal"/>
    <w:autoRedefine/>
    <w:uiPriority w:val="39"/>
    <w:unhideWhenUsed/>
    <w:rsid w:val="00FA2B05"/>
    <w:pPr>
      <w:spacing w:after="100"/>
      <w:ind w:left="200"/>
    </w:pPr>
  </w:style>
  <w:style w:type="character" w:styleId="Hyperlink">
    <w:name w:val="Hyperlink"/>
    <w:basedOn w:val="DefaultParagraphFont"/>
    <w:uiPriority w:val="99"/>
    <w:unhideWhenUsed/>
    <w:rsid w:val="00FA2B05"/>
    <w:rPr>
      <w:color w:val="0563C1" w:themeColor="hyperlink"/>
      <w:u w:val="single"/>
    </w:rPr>
  </w:style>
  <w:style w:type="character" w:styleId="UnresolvedMention">
    <w:name w:val="Unresolved Mention"/>
    <w:basedOn w:val="DefaultParagraphFont"/>
    <w:uiPriority w:val="99"/>
    <w:semiHidden/>
    <w:unhideWhenUsed/>
    <w:rsid w:val="007F1B68"/>
    <w:rPr>
      <w:color w:val="605E5C"/>
      <w:shd w:val="clear" w:color="auto" w:fill="E1DFDD"/>
    </w:rPr>
  </w:style>
  <w:style w:type="paragraph" w:styleId="FootnoteText">
    <w:name w:val="footnote text"/>
    <w:basedOn w:val="Normal"/>
    <w:link w:val="FootnoteTextChar"/>
    <w:uiPriority w:val="99"/>
    <w:semiHidden/>
    <w:unhideWhenUsed/>
    <w:rsid w:val="00704BCE"/>
    <w:pPr>
      <w:spacing w:after="0" w:line="240" w:lineRule="auto"/>
    </w:pPr>
    <w:rPr>
      <w:szCs w:val="20"/>
    </w:rPr>
  </w:style>
  <w:style w:type="character" w:customStyle="1" w:styleId="FootnoteTextChar">
    <w:name w:val="Footnote Text Char"/>
    <w:basedOn w:val="DefaultParagraphFont"/>
    <w:link w:val="FootnoteText"/>
    <w:uiPriority w:val="99"/>
    <w:semiHidden/>
    <w:rsid w:val="00704BCE"/>
    <w:rPr>
      <w:rFonts w:ascii="Segoe UI" w:hAnsi="Segoe UI"/>
      <w:kern w:val="0"/>
      <w:sz w:val="20"/>
      <w:szCs w:val="20"/>
      <w14:ligatures w14:val="none"/>
    </w:rPr>
  </w:style>
  <w:style w:type="character" w:styleId="FootnoteReference">
    <w:name w:val="footnote reference"/>
    <w:basedOn w:val="DefaultParagraphFont"/>
    <w:uiPriority w:val="99"/>
    <w:semiHidden/>
    <w:unhideWhenUsed/>
    <w:rsid w:val="00704BCE"/>
    <w:rPr>
      <w:vertAlign w:val="superscript"/>
    </w:rPr>
  </w:style>
  <w:style w:type="paragraph" w:styleId="Revision">
    <w:name w:val="Revision"/>
    <w:hidden/>
    <w:uiPriority w:val="99"/>
    <w:semiHidden/>
    <w:rsid w:val="004128AA"/>
    <w:pPr>
      <w:spacing w:after="0" w:line="240" w:lineRule="auto"/>
    </w:pPr>
    <w:rPr>
      <w:rFonts w:ascii="Segoe UI" w:hAnsi="Segoe UI"/>
      <w:kern w:val="0"/>
      <w:sz w:val="20"/>
      <w14:ligatures w14:val="none"/>
    </w:rPr>
  </w:style>
  <w:style w:type="character" w:styleId="CommentReference">
    <w:name w:val="annotation reference"/>
    <w:basedOn w:val="DefaultParagraphFont"/>
    <w:uiPriority w:val="99"/>
    <w:semiHidden/>
    <w:unhideWhenUsed/>
    <w:rsid w:val="00912EEF"/>
    <w:rPr>
      <w:sz w:val="16"/>
      <w:szCs w:val="16"/>
    </w:rPr>
  </w:style>
  <w:style w:type="paragraph" w:styleId="CommentText">
    <w:name w:val="annotation text"/>
    <w:basedOn w:val="Normal"/>
    <w:link w:val="CommentTextChar"/>
    <w:uiPriority w:val="99"/>
    <w:unhideWhenUsed/>
    <w:rsid w:val="00912EEF"/>
    <w:pPr>
      <w:spacing w:line="240" w:lineRule="auto"/>
    </w:pPr>
    <w:rPr>
      <w:szCs w:val="20"/>
    </w:rPr>
  </w:style>
  <w:style w:type="character" w:customStyle="1" w:styleId="CommentTextChar">
    <w:name w:val="Comment Text Char"/>
    <w:basedOn w:val="DefaultParagraphFont"/>
    <w:link w:val="CommentText"/>
    <w:uiPriority w:val="99"/>
    <w:rsid w:val="00912EEF"/>
    <w:rPr>
      <w:rFonts w:ascii="Segoe UI" w:hAnsi="Segoe U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2EEF"/>
    <w:rPr>
      <w:b/>
      <w:bCs/>
    </w:rPr>
  </w:style>
  <w:style w:type="character" w:customStyle="1" w:styleId="CommentSubjectChar">
    <w:name w:val="Comment Subject Char"/>
    <w:basedOn w:val="CommentTextChar"/>
    <w:link w:val="CommentSubject"/>
    <w:uiPriority w:val="99"/>
    <w:semiHidden/>
    <w:rsid w:val="00912EEF"/>
    <w:rPr>
      <w:rFonts w:ascii="Segoe UI" w:hAnsi="Segoe UI"/>
      <w:b/>
      <w:bCs/>
      <w:kern w:val="0"/>
      <w:sz w:val="20"/>
      <w:szCs w:val="20"/>
      <w14:ligatures w14:val="none"/>
    </w:rPr>
  </w:style>
  <w:style w:type="character" w:styleId="FollowedHyperlink">
    <w:name w:val="FollowedHyperlink"/>
    <w:basedOn w:val="DefaultParagraphFont"/>
    <w:uiPriority w:val="99"/>
    <w:semiHidden/>
    <w:unhideWhenUsed/>
    <w:rsid w:val="00026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1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t.ac.za/sites/default/files/content_migration/uct_ac_za/87/files/IBC%2520POLICY%2520for%2520REVIEW%2520OF%2520RESEARCH%2520INVOLVING%2520RECOMBINAN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ct.ac.za/sites/default/files/content_migration/uct_ac_za/87/files/IBC%2520POLICY%2520for%2520REVIEW%2520OF%2520RESEARCH%2520INVOLVING%2520RECOMBINAN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t.ac.za/research-support-hub/integrity/biosafety" TargetMode="External"/><Relationship Id="rId5" Type="http://schemas.openxmlformats.org/officeDocument/2006/relationships/numbering" Target="numbering.xml"/><Relationship Id="rId15" Type="http://schemas.openxmlformats.org/officeDocument/2006/relationships/hyperlink" Target="mailto:suraya.azam@uct.ac.z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t.ac.za/research-support-hub/integrity/biosafet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kit.ncats.nih.gov/glossary/principal-investigator/" TargetMode="External"/><Relationship Id="rId2" Type="http://schemas.openxmlformats.org/officeDocument/2006/relationships/hyperlink" Target="https://www.genome.gov/genetics-glossary/Genetically-Modified-Organism" TargetMode="External"/><Relationship Id="rId1" Type="http://schemas.openxmlformats.org/officeDocument/2006/relationships/hyperlink" Target="https://policymanual.nih.gov/3035" TargetMode="External"/><Relationship Id="rId5" Type="http://schemas.openxmlformats.org/officeDocument/2006/relationships/hyperlink" Target="https://policymanual.nih.gov/3035" TargetMode="External"/><Relationship Id="rId4" Type="http://schemas.openxmlformats.org/officeDocument/2006/relationships/hyperlink" Target="https://toolkit.ncats.nih.gov/glossary/principal-investig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230dc-7405-4ddb-8c51-a393fc2e8ef2" xsi:nil="true"/>
    <lcf76f155ced4ddcb4097134ff3c332f xmlns="ece1b075-fc64-40dd-be14-e955719de2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07C446F25934888FAFE46DB90F037" ma:contentTypeVersion="22" ma:contentTypeDescription="Create a new document." ma:contentTypeScope="" ma:versionID="c2cc00a200db4a810ae2c570c145e32e">
  <xsd:schema xmlns:xsd="http://www.w3.org/2001/XMLSchema" xmlns:xs="http://www.w3.org/2001/XMLSchema" xmlns:p="http://schemas.microsoft.com/office/2006/metadata/properties" xmlns:ns2="ece1b075-fc64-40dd-be14-e955719de265" xmlns:ns3="641230dc-7405-4ddb-8c51-a393fc2e8ef2" targetNamespace="http://schemas.microsoft.com/office/2006/metadata/properties" ma:root="true" ma:fieldsID="82ebf942aa9a31dc166f65f0be4430c4" ns2:_="" ns3:_="">
    <xsd:import namespace="ece1b075-fc64-40dd-be14-e955719de265"/>
    <xsd:import namespace="641230dc-7405-4ddb-8c51-a393fc2e8e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1b075-fc64-40dd-be14-e955719de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230dc-7405-4ddb-8c51-a393fc2e8e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50dac4-c96c-4ea5-a338-72c91a910302}" ma:internalName="TaxCatchAll" ma:showField="CatchAllData" ma:web="641230dc-7405-4ddb-8c51-a393fc2e8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C435-2017-4C0D-8785-29D1FE9670E4}">
  <ds:schemaRefs>
    <ds:schemaRef ds:uri="http://schemas.microsoft.com/office/2006/metadata/properties"/>
    <ds:schemaRef ds:uri="http://schemas.microsoft.com/office/infopath/2007/PartnerControls"/>
    <ds:schemaRef ds:uri="ece1b075-fc64-40dd-be14-e955719de265"/>
    <ds:schemaRef ds:uri="http://schemas.microsoft.com/office/2006/documentManagement/types"/>
    <ds:schemaRef ds:uri="http://purl.org/dc/dcmitype/"/>
    <ds:schemaRef ds:uri="641230dc-7405-4ddb-8c51-a393fc2e8ef2"/>
    <ds:schemaRef ds:uri="http://schemas.openxmlformats.org/package/2006/metadata/core-properti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F518850E-13DF-4B7D-9289-1B12C19C9E2A}">
  <ds:schemaRefs>
    <ds:schemaRef ds:uri="http://schemas.microsoft.com/sharepoint/v3/contenttype/forms"/>
  </ds:schemaRefs>
</ds:datastoreItem>
</file>

<file path=customXml/itemProps3.xml><?xml version="1.0" encoding="utf-8"?>
<ds:datastoreItem xmlns:ds="http://schemas.openxmlformats.org/officeDocument/2006/customXml" ds:itemID="{F92002B4-2207-4072-9705-E8825DA8A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1b075-fc64-40dd-be14-e955719de265"/>
    <ds:schemaRef ds:uri="641230dc-7405-4ddb-8c51-a393fc2e8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441DA-3729-4AF3-B7C4-1EB346AF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Saner</dc:creator>
  <cp:keywords/>
  <dc:description/>
  <cp:lastModifiedBy>Paula Saner</cp:lastModifiedBy>
  <cp:revision>8</cp:revision>
  <dcterms:created xsi:type="dcterms:W3CDTF">2024-02-20T20:01:00Z</dcterms:created>
  <dcterms:modified xsi:type="dcterms:W3CDTF">2024-02-28T13:17:00Z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0x0101001CF07C446F25934888FAFE46DB90F037</vt:lpwstr>
  </property>
  <property fmtid="{D5CDD505-2E9C-101B-9397-08002B2CF9AE}" pid="3" name="MediaServiceImageTags">
    <vt:lpwstr/>
  </property>
</Properties>
</file>