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16" w:rsidRPr="00761A84" w:rsidRDefault="00761A84">
      <w:pPr>
        <w:rPr>
          <w:b/>
          <w:sz w:val="24"/>
          <w:szCs w:val="24"/>
          <w:u w:val="single"/>
        </w:rPr>
      </w:pPr>
      <w:r w:rsidRPr="00761A84">
        <w:rPr>
          <w:b/>
          <w:sz w:val="24"/>
          <w:szCs w:val="24"/>
          <w:u w:val="single"/>
        </w:rPr>
        <w:t>MCC PROGRESS REPORT GUIDE:</w:t>
      </w:r>
    </w:p>
    <w:p w:rsidR="00761A84" w:rsidRDefault="00761A84" w:rsidP="00761A84">
      <w:pPr>
        <w:spacing w:line="240" w:lineRule="atLeast"/>
        <w:jc w:val="both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PROCESS</w:t>
      </w:r>
    </w:p>
    <w:p w:rsidR="00761A84" w:rsidRDefault="00761A84" w:rsidP="00761A84">
      <w:pPr>
        <w:pStyle w:val="ListParagraph"/>
        <w:numPr>
          <w:ilvl w:val="0"/>
          <w:numId w:val="1"/>
        </w:numPr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A Clinical Trial Progress Report should be completed for each open site that was initiated on or </w:t>
      </w:r>
      <w:r>
        <w:rPr>
          <w:color w:val="000000"/>
        </w:rPr>
        <w:t>before the date of data capture.</w:t>
      </w:r>
      <w:r>
        <w:rPr>
          <w:color w:val="000000"/>
        </w:rPr>
        <w:t xml:space="preserve">   </w:t>
      </w:r>
    </w:p>
    <w:p w:rsidR="00761A84" w:rsidRDefault="00761A84" w:rsidP="00761A84">
      <w:pPr>
        <w:pStyle w:val="ListParagraph"/>
        <w:numPr>
          <w:ilvl w:val="0"/>
          <w:numId w:val="1"/>
        </w:numPr>
        <w:spacing w:line="240" w:lineRule="atLeast"/>
        <w:jc w:val="both"/>
        <w:rPr>
          <w:color w:val="000000"/>
        </w:rPr>
      </w:pPr>
      <w:r>
        <w:rPr>
          <w:color w:val="000000"/>
        </w:rPr>
        <w:t>Please keep the following in mind when completing the forms:</w:t>
      </w:r>
    </w:p>
    <w:p w:rsidR="00761A84" w:rsidRDefault="00761A84" w:rsidP="00761A84">
      <w:pPr>
        <w:pStyle w:val="ListParagraph"/>
        <w:spacing w:line="240" w:lineRule="atLeast"/>
        <w:ind w:left="666" w:hanging="360"/>
        <w:jc w:val="both"/>
        <w:rPr>
          <w:color w:val="000000"/>
        </w:rPr>
      </w:pPr>
      <w:r>
        <w:rPr>
          <w:color w:val="000000"/>
        </w:rPr>
        <w:t>-        The site info</w:t>
      </w:r>
      <w:bookmarkStart w:id="0" w:name="_GoBack"/>
      <w:bookmarkEnd w:id="0"/>
      <w:r>
        <w:rPr>
          <w:color w:val="000000"/>
        </w:rPr>
        <w:t>rmation should reflect the site’s status on the date of data capture.</w:t>
      </w:r>
    </w:p>
    <w:p w:rsidR="00761A84" w:rsidRDefault="00761A84" w:rsidP="00761A84">
      <w:pPr>
        <w:pStyle w:val="ListParagraph"/>
        <w:ind w:left="666" w:hanging="360"/>
        <w:rPr>
          <w:color w:val="000000"/>
        </w:rPr>
      </w:pPr>
      <w:r>
        <w:rPr>
          <w:color w:val="000000"/>
        </w:rPr>
        <w:t>-        The “Date commenced” cannot be prior to MCC approval. If the SIV was done prior to MCC approval, then the “Date commenced” is the MCC approval date.   If a re-initiation visit was done after MCC approval   then the “Date commenced” is the re-initiation visit date.</w:t>
      </w:r>
    </w:p>
    <w:p w:rsidR="00761A84" w:rsidRDefault="00761A84" w:rsidP="00761A84">
      <w:pPr>
        <w:pStyle w:val="ListParagraph"/>
        <w:spacing w:line="240" w:lineRule="atLeast"/>
        <w:ind w:left="666" w:hanging="360"/>
        <w:jc w:val="both"/>
        <w:rPr>
          <w:color w:val="000000"/>
        </w:rPr>
      </w:pPr>
      <w:r>
        <w:rPr>
          <w:color w:val="000000"/>
        </w:rPr>
        <w:t>-        The “Expected date of completion” is the (expected) Site Closure Visit (SCV) date.</w:t>
      </w:r>
    </w:p>
    <w:p w:rsidR="00761A84" w:rsidRDefault="00761A84" w:rsidP="00761A84">
      <w:pPr>
        <w:pStyle w:val="ListParagraph"/>
        <w:spacing w:line="240" w:lineRule="atLeast"/>
        <w:ind w:left="666" w:hanging="360"/>
        <w:jc w:val="both"/>
        <w:rPr>
          <w:color w:val="000000"/>
        </w:rPr>
      </w:pPr>
      <w:r>
        <w:rPr>
          <w:color w:val="000000"/>
        </w:rPr>
        <w:t>-        For “Sponsor approved” protocol non-compliance, record only Sponsor approved waivers/protocol deviations/violations. May be attached separately (</w:t>
      </w:r>
      <w:r>
        <w:rPr>
          <w:b/>
          <w:bCs/>
          <w:color w:val="000000"/>
          <w:u w:val="single"/>
        </w:rPr>
        <w:t>complete list required</w:t>
      </w:r>
      <w:r>
        <w:rPr>
          <w:color w:val="000000"/>
        </w:rPr>
        <w:t>).</w:t>
      </w:r>
    </w:p>
    <w:p w:rsidR="00761A84" w:rsidRDefault="00761A84" w:rsidP="00761A84">
      <w:pPr>
        <w:pStyle w:val="ListParagraph"/>
        <w:spacing w:line="240" w:lineRule="atLeast"/>
        <w:ind w:left="666" w:hanging="360"/>
        <w:jc w:val="both"/>
        <w:rPr>
          <w:color w:val="000000"/>
        </w:rPr>
      </w:pPr>
      <w:r>
        <w:rPr>
          <w:color w:val="000000"/>
        </w:rPr>
        <w:t>-        For “Non-Sponsor approved” protocol non-compliance, record only waivers/protocol deviations/violations NOT approved by Sponsor. May be attached separately (</w:t>
      </w:r>
      <w:r>
        <w:rPr>
          <w:b/>
          <w:bCs/>
          <w:color w:val="000000"/>
          <w:u w:val="single"/>
        </w:rPr>
        <w:t>complete list required</w:t>
      </w:r>
      <w:r>
        <w:rPr>
          <w:color w:val="000000"/>
        </w:rPr>
        <w:t>).</w:t>
      </w:r>
    </w:p>
    <w:p w:rsidR="00761A84" w:rsidRDefault="00761A84" w:rsidP="00761A84">
      <w:pPr>
        <w:pStyle w:val="BodyText3"/>
        <w:ind w:left="666"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-        All SAEs and drug related AEs have to be completed on the applicable forms (Attachments 1 and 2). These are attached to each individual site-specific progress report. </w:t>
      </w:r>
    </w:p>
    <w:p w:rsidR="00761A84" w:rsidRDefault="00761A84" w:rsidP="00761A84">
      <w:pPr>
        <w:pStyle w:val="ListParagraph"/>
        <w:numPr>
          <w:ilvl w:val="0"/>
          <w:numId w:val="1"/>
        </w:numPr>
        <w:spacing w:line="240" w:lineRule="atLeast"/>
        <w:jc w:val="both"/>
        <w:rPr>
          <w:color w:val="000000"/>
        </w:rPr>
      </w:pPr>
      <w:r>
        <w:rPr>
          <w:color w:val="000000"/>
        </w:rPr>
        <w:t>Line Managers should review the reports before it is sent to the sites. A checklist</w:t>
      </w:r>
      <w:r>
        <w:rPr>
          <w:color w:val="FF0000"/>
        </w:rPr>
        <w:t xml:space="preserve"> </w:t>
      </w:r>
      <w:r>
        <w:rPr>
          <w:color w:val="000000"/>
        </w:rPr>
        <w:t>that you can use for this purpose is available on the QSSA Team Site.</w:t>
      </w:r>
    </w:p>
    <w:p w:rsidR="00761A84" w:rsidRDefault="00761A84" w:rsidP="00761A84">
      <w:pPr>
        <w:pStyle w:val="ListParagraph"/>
        <w:numPr>
          <w:ilvl w:val="0"/>
          <w:numId w:val="1"/>
        </w:numPr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The PI, or the sub-investigator on behalf of the PI, should review the report and complete the “Summary of Progress to Date” (page 3 of template) section before it is signed and returned to the Monitor. </w:t>
      </w:r>
    </w:p>
    <w:p w:rsidR="00761A84" w:rsidRDefault="00761A84" w:rsidP="00761A84">
      <w:pPr>
        <w:pStyle w:val="ListParagraph"/>
        <w:numPr>
          <w:ilvl w:val="0"/>
          <w:numId w:val="1"/>
        </w:numPr>
        <w:spacing w:line="240" w:lineRule="atLeast"/>
        <w:jc w:val="both"/>
        <w:rPr>
          <w:color w:val="000000"/>
        </w:rPr>
      </w:pPr>
      <w:r>
        <w:rPr>
          <w:color w:val="000000"/>
        </w:rPr>
        <w:t>Monitor signs</w:t>
      </w:r>
    </w:p>
    <w:p w:rsidR="00761A84" w:rsidRDefault="00761A84" w:rsidP="00761A84">
      <w:pPr>
        <w:pStyle w:val="ListParagraph"/>
        <w:numPr>
          <w:ilvl w:val="0"/>
          <w:numId w:val="1"/>
        </w:numPr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Manager signs </w:t>
      </w:r>
    </w:p>
    <w:p w:rsidR="00761A84" w:rsidRDefault="00761A84" w:rsidP="00761A84">
      <w:pPr>
        <w:pStyle w:val="ListParagraph"/>
        <w:numPr>
          <w:ilvl w:val="0"/>
          <w:numId w:val="1"/>
        </w:numPr>
        <w:spacing w:line="240" w:lineRule="atLeast"/>
        <w:jc w:val="both"/>
        <w:rPr>
          <w:color w:val="000000"/>
        </w:rPr>
      </w:pPr>
      <w:r>
        <w:rPr>
          <w:color w:val="000000"/>
        </w:rPr>
        <w:t>CTA/CRA</w:t>
      </w:r>
      <w:r>
        <w:rPr>
          <w:snapToGrid w:val="0"/>
          <w:color w:val="000000"/>
          <w:lang w:val="en-US"/>
        </w:rPr>
        <w:t xml:space="preserve"> do final check </w:t>
      </w:r>
    </w:p>
    <w:p w:rsidR="00761A84" w:rsidRDefault="00761A84"/>
    <w:sectPr w:rsidR="00761A84" w:rsidSect="00B63C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215DB"/>
    <w:multiLevelType w:val="hybridMultilevel"/>
    <w:tmpl w:val="200A7A22"/>
    <w:lvl w:ilvl="0" w:tplc="FD1237D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1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6D7C8F28">
      <w:numFmt w:val="bullet"/>
      <w:lvlText w:val=""/>
      <w:lvlJc w:val="left"/>
      <w:pPr>
        <w:ind w:left="1800" w:hanging="360"/>
      </w:pPr>
      <w:rPr>
        <w:rFonts w:ascii="Symbol" w:eastAsia="Calibri" w:hAnsi="Symbol" w:cs="Calibri" w:hint="default"/>
      </w:rPr>
    </w:lvl>
    <w:lvl w:ilvl="3" w:tplc="1C09000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C090003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1C09000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1C09000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1C090003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1C090005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84"/>
    <w:rsid w:val="00761A84"/>
    <w:rsid w:val="008D3DBF"/>
    <w:rsid w:val="00B6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761A84"/>
    <w:pPr>
      <w:snapToGrid w:val="0"/>
      <w:spacing w:after="0" w:line="240" w:lineRule="atLeast"/>
      <w:jc w:val="center"/>
    </w:pPr>
    <w:rPr>
      <w:rFonts w:ascii="Arial" w:hAnsi="Arial" w:cs="Arial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61A84"/>
    <w:rPr>
      <w:rFonts w:ascii="Arial" w:hAnsi="Arial" w:cs="Arial"/>
      <w:sz w:val="20"/>
      <w:szCs w:val="20"/>
      <w:lang w:eastAsia="en-ZA"/>
    </w:rPr>
  </w:style>
  <w:style w:type="paragraph" w:styleId="ListParagraph">
    <w:name w:val="List Paragraph"/>
    <w:basedOn w:val="Normal"/>
    <w:uiPriority w:val="34"/>
    <w:qFormat/>
    <w:rsid w:val="00761A84"/>
    <w:pPr>
      <w:spacing w:after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761A84"/>
    <w:pPr>
      <w:snapToGrid w:val="0"/>
      <w:spacing w:after="0" w:line="240" w:lineRule="atLeast"/>
      <w:jc w:val="center"/>
    </w:pPr>
    <w:rPr>
      <w:rFonts w:ascii="Arial" w:hAnsi="Arial" w:cs="Arial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61A84"/>
    <w:rPr>
      <w:rFonts w:ascii="Arial" w:hAnsi="Arial" w:cs="Arial"/>
      <w:sz w:val="20"/>
      <w:szCs w:val="20"/>
      <w:lang w:eastAsia="en-ZA"/>
    </w:rPr>
  </w:style>
  <w:style w:type="paragraph" w:styleId="ListParagraph">
    <w:name w:val="List Paragraph"/>
    <w:basedOn w:val="Normal"/>
    <w:uiPriority w:val="34"/>
    <w:qFormat/>
    <w:rsid w:val="00761A84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7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mbopape</dc:creator>
  <cp:lastModifiedBy>mbopape</cp:lastModifiedBy>
  <cp:revision>1</cp:revision>
  <dcterms:created xsi:type="dcterms:W3CDTF">2014-03-30T03:08:00Z</dcterms:created>
  <dcterms:modified xsi:type="dcterms:W3CDTF">2014-03-30T03:12:00Z</dcterms:modified>
</cp:coreProperties>
</file>