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2E91" w14:textId="4F4D5105" w:rsidR="009D6B8D" w:rsidRPr="00F66F4A" w:rsidRDefault="00A822A5">
      <w:pPr>
        <w:pStyle w:val="ListParagraph"/>
        <w:numPr>
          <w:ilvl w:val="0"/>
          <w:numId w:val="1"/>
        </w:numPr>
        <w:spacing w:line="360" w:lineRule="auto"/>
        <w:jc w:val="both"/>
        <w:rPr>
          <w:rFonts w:ascii="Arial" w:hAnsi="Arial" w:cs="Arial"/>
          <w:b/>
          <w:bCs/>
          <w:sz w:val="22"/>
          <w:szCs w:val="22"/>
        </w:rPr>
      </w:pPr>
      <w:r w:rsidRPr="00F66F4A">
        <w:rPr>
          <w:rFonts w:ascii="Arial" w:hAnsi="Arial" w:cs="Arial"/>
          <w:b/>
          <w:bCs/>
          <w:sz w:val="22"/>
          <w:szCs w:val="22"/>
        </w:rPr>
        <w:t>ESTABLISHMENT</w:t>
      </w:r>
    </w:p>
    <w:p w14:paraId="1FCEB4DB" w14:textId="3D407252" w:rsidR="00F66F4A" w:rsidRDefault="003E627A">
      <w:pPr>
        <w:pStyle w:val="ListParagraph"/>
        <w:numPr>
          <w:ilvl w:val="1"/>
          <w:numId w:val="1"/>
        </w:numPr>
        <w:spacing w:line="360" w:lineRule="auto"/>
        <w:jc w:val="both"/>
        <w:rPr>
          <w:rFonts w:ascii="Arial" w:hAnsi="Arial" w:cs="Arial"/>
          <w:sz w:val="22"/>
          <w:szCs w:val="22"/>
        </w:rPr>
      </w:pPr>
      <w:r w:rsidRPr="00F66F4A">
        <w:rPr>
          <w:rFonts w:ascii="Arial" w:hAnsi="Arial" w:cs="Arial"/>
          <w:sz w:val="22"/>
          <w:szCs w:val="22"/>
        </w:rPr>
        <w:t xml:space="preserve">The University of Cape Town MBChB Graduate Advisory Board, hereafter referred to as the </w:t>
      </w:r>
      <w:r w:rsidRPr="00F66F4A">
        <w:rPr>
          <w:rFonts w:ascii="Arial" w:hAnsi="Arial" w:cs="Arial"/>
          <w:b/>
          <w:bCs/>
          <w:sz w:val="22"/>
          <w:szCs w:val="22"/>
        </w:rPr>
        <w:t>Graduate Advisory Board</w:t>
      </w:r>
      <w:r w:rsidRPr="00F66F4A">
        <w:rPr>
          <w:rFonts w:ascii="Arial" w:hAnsi="Arial" w:cs="Arial"/>
          <w:sz w:val="22"/>
          <w:szCs w:val="22"/>
        </w:rPr>
        <w:t xml:space="preserve"> or </w:t>
      </w:r>
      <w:r w:rsidRPr="00F66F4A">
        <w:rPr>
          <w:rFonts w:ascii="Arial" w:hAnsi="Arial" w:cs="Arial"/>
          <w:b/>
          <w:bCs/>
          <w:sz w:val="22"/>
          <w:szCs w:val="22"/>
        </w:rPr>
        <w:t>GAB</w:t>
      </w:r>
      <w:r w:rsidRPr="00F66F4A">
        <w:rPr>
          <w:rFonts w:ascii="Arial" w:hAnsi="Arial" w:cs="Arial"/>
          <w:sz w:val="22"/>
          <w:szCs w:val="22"/>
        </w:rPr>
        <w:t>, is established by the MBChB Programme Office as a formal advisory structure supporting the governance, review and continued development of the MBChB programme</w:t>
      </w:r>
      <w:r w:rsidR="006D39D8">
        <w:rPr>
          <w:rFonts w:ascii="Arial" w:hAnsi="Arial" w:cs="Arial"/>
          <w:sz w:val="22"/>
          <w:szCs w:val="22"/>
        </w:rPr>
        <w:t xml:space="preserve"> offered by the University of Cape Town.</w:t>
      </w:r>
    </w:p>
    <w:p w14:paraId="24765B62" w14:textId="6B9C7CA4" w:rsidR="00F66F4A" w:rsidRDefault="003E627A">
      <w:pPr>
        <w:pStyle w:val="ListParagraph"/>
        <w:numPr>
          <w:ilvl w:val="1"/>
          <w:numId w:val="1"/>
        </w:numPr>
        <w:spacing w:line="360" w:lineRule="auto"/>
        <w:jc w:val="both"/>
        <w:rPr>
          <w:rFonts w:ascii="Arial" w:hAnsi="Arial" w:cs="Arial"/>
          <w:sz w:val="22"/>
          <w:szCs w:val="22"/>
        </w:rPr>
      </w:pPr>
      <w:r w:rsidRPr="00F66F4A">
        <w:rPr>
          <w:rFonts w:ascii="Arial" w:hAnsi="Arial" w:cs="Arial"/>
          <w:sz w:val="22"/>
          <w:szCs w:val="22"/>
        </w:rPr>
        <w:t xml:space="preserve">The Board is administered by the </w:t>
      </w:r>
      <w:r w:rsidRPr="00F66F4A">
        <w:rPr>
          <w:rFonts w:ascii="Arial" w:hAnsi="Arial" w:cs="Arial"/>
          <w:b/>
          <w:bCs/>
          <w:i/>
          <w:iCs/>
          <w:sz w:val="22"/>
          <w:szCs w:val="22"/>
        </w:rPr>
        <w:t>Student Curriculum Lekgotla</w:t>
      </w:r>
      <w:r w:rsidR="00F66F4A" w:rsidRPr="00F66F4A">
        <w:rPr>
          <w:rFonts w:ascii="Arial" w:hAnsi="Arial" w:cs="Arial"/>
          <w:b/>
          <w:bCs/>
          <w:i/>
          <w:iCs/>
          <w:sz w:val="22"/>
          <w:szCs w:val="22"/>
        </w:rPr>
        <w:t xml:space="preserve"> (SCL)</w:t>
      </w:r>
      <w:r w:rsidRPr="00F66F4A">
        <w:rPr>
          <w:rFonts w:ascii="Arial" w:hAnsi="Arial" w:cs="Arial"/>
          <w:sz w:val="22"/>
          <w:szCs w:val="22"/>
        </w:rPr>
        <w:t xml:space="preserve"> on behalf of the </w:t>
      </w:r>
      <w:r w:rsidRPr="00F66F4A">
        <w:rPr>
          <w:rFonts w:ascii="Arial" w:hAnsi="Arial" w:cs="Arial"/>
          <w:i/>
          <w:iCs/>
          <w:sz w:val="22"/>
          <w:szCs w:val="22"/>
        </w:rPr>
        <w:t>Head of the MBChB Programme</w:t>
      </w:r>
      <w:r w:rsidRPr="00F66F4A">
        <w:rPr>
          <w:rFonts w:ascii="Arial" w:hAnsi="Arial" w:cs="Arial"/>
          <w:sz w:val="22"/>
          <w:szCs w:val="22"/>
        </w:rPr>
        <w:t>.</w:t>
      </w:r>
    </w:p>
    <w:p w14:paraId="3591F31D" w14:textId="77777777" w:rsidR="00F66F4A" w:rsidRDefault="003E627A">
      <w:pPr>
        <w:pStyle w:val="ListParagraph"/>
        <w:numPr>
          <w:ilvl w:val="1"/>
          <w:numId w:val="1"/>
        </w:numPr>
        <w:spacing w:line="360" w:lineRule="auto"/>
        <w:jc w:val="both"/>
        <w:rPr>
          <w:rFonts w:ascii="Arial" w:hAnsi="Arial" w:cs="Arial"/>
          <w:sz w:val="22"/>
          <w:szCs w:val="22"/>
        </w:rPr>
      </w:pPr>
      <w:r w:rsidRPr="00F66F4A">
        <w:rPr>
          <w:rFonts w:ascii="Arial" w:hAnsi="Arial" w:cs="Arial"/>
          <w:sz w:val="22"/>
          <w:szCs w:val="22"/>
        </w:rPr>
        <w:t>The Board is advisory rather than decision-making. It does not replace the authority of the MBChB Executive Committee, Faculty committees, course convenors, academic departments or other established University governance structures.</w:t>
      </w:r>
    </w:p>
    <w:p w14:paraId="0317C31E" w14:textId="3AAA6282" w:rsidR="00AB3E31" w:rsidRDefault="003E627A">
      <w:pPr>
        <w:pStyle w:val="ListParagraph"/>
        <w:numPr>
          <w:ilvl w:val="1"/>
          <w:numId w:val="1"/>
        </w:numPr>
        <w:spacing w:line="360" w:lineRule="auto"/>
        <w:jc w:val="both"/>
        <w:rPr>
          <w:rFonts w:ascii="Arial" w:hAnsi="Arial" w:cs="Arial"/>
          <w:sz w:val="22"/>
          <w:szCs w:val="22"/>
        </w:rPr>
      </w:pPr>
      <w:r w:rsidRPr="00F66F4A">
        <w:rPr>
          <w:rFonts w:ascii="Arial" w:hAnsi="Arial" w:cs="Arial"/>
          <w:sz w:val="22"/>
          <w:szCs w:val="22"/>
        </w:rPr>
        <w:t>The inaugural 2026 Board comprises eight recent UCT MBChB graduates, primarily medical interns, appointed for their direct and current experience of the transition from undergraduate medical education into clinical practice.</w:t>
      </w:r>
    </w:p>
    <w:p w14:paraId="27D4837F" w14:textId="77777777" w:rsidR="00F3666D" w:rsidRPr="00F66F4A" w:rsidRDefault="00F3666D" w:rsidP="00F3666D">
      <w:pPr>
        <w:pStyle w:val="ListParagraph"/>
        <w:spacing w:line="360" w:lineRule="auto"/>
        <w:jc w:val="both"/>
        <w:rPr>
          <w:rFonts w:ascii="Arial" w:hAnsi="Arial" w:cs="Arial"/>
          <w:sz w:val="22"/>
          <w:szCs w:val="22"/>
        </w:rPr>
      </w:pPr>
    </w:p>
    <w:p w14:paraId="41A519EF" w14:textId="59569A59" w:rsidR="00AB3E31" w:rsidRPr="00F66F4A" w:rsidRDefault="00A822A5">
      <w:pPr>
        <w:pStyle w:val="ListParagraph"/>
        <w:numPr>
          <w:ilvl w:val="0"/>
          <w:numId w:val="1"/>
        </w:numPr>
        <w:spacing w:line="360" w:lineRule="auto"/>
        <w:jc w:val="both"/>
        <w:rPr>
          <w:rFonts w:ascii="Arial" w:hAnsi="Arial" w:cs="Arial"/>
          <w:sz w:val="22"/>
          <w:szCs w:val="22"/>
        </w:rPr>
      </w:pPr>
      <w:r w:rsidRPr="00F66F4A">
        <w:rPr>
          <w:rFonts w:ascii="Arial" w:hAnsi="Arial" w:cs="Arial"/>
          <w:b/>
          <w:bCs/>
          <w:sz w:val="22"/>
          <w:szCs w:val="22"/>
        </w:rPr>
        <w:t xml:space="preserve">BACKGROUND </w:t>
      </w:r>
      <w:r w:rsidRPr="00F66F4A">
        <w:rPr>
          <w:rFonts w:ascii="Arial" w:hAnsi="Arial" w:cs="Arial"/>
          <w:sz w:val="22"/>
          <w:szCs w:val="22"/>
        </w:rPr>
        <w:t> </w:t>
      </w:r>
    </w:p>
    <w:p w14:paraId="18322EB3" w14:textId="77777777" w:rsidR="00706FBF" w:rsidRPr="00F66F4A" w:rsidRDefault="00706FBF" w:rsidP="00F66F4A">
      <w:pPr>
        <w:spacing w:line="360" w:lineRule="auto"/>
        <w:jc w:val="both"/>
        <w:rPr>
          <w:rFonts w:ascii="Arial" w:hAnsi="Arial" w:cs="Arial"/>
          <w:sz w:val="22"/>
          <w:szCs w:val="22"/>
        </w:rPr>
      </w:pPr>
      <w:r w:rsidRPr="00F66F4A">
        <w:rPr>
          <w:rFonts w:ascii="Arial" w:hAnsi="Arial" w:cs="Arial"/>
          <w:sz w:val="22"/>
          <w:szCs w:val="22"/>
        </w:rPr>
        <w:t>The Student Curriculum Lekgotla is a student-led, faculty-supported platform through which students, staff, graduates and institutional partners deliberate on, investigate and contribute to curriculum development.</w:t>
      </w:r>
    </w:p>
    <w:p w14:paraId="58363B87" w14:textId="77777777" w:rsidR="00706FBF" w:rsidRPr="00F66F4A" w:rsidRDefault="00706FBF" w:rsidP="00F66F4A">
      <w:pPr>
        <w:spacing w:line="360" w:lineRule="auto"/>
        <w:jc w:val="both"/>
        <w:rPr>
          <w:rFonts w:ascii="Arial" w:hAnsi="Arial" w:cs="Arial"/>
          <w:sz w:val="22"/>
          <w:szCs w:val="22"/>
        </w:rPr>
      </w:pPr>
      <w:r w:rsidRPr="00F66F4A">
        <w:rPr>
          <w:rFonts w:ascii="Arial" w:hAnsi="Arial" w:cs="Arial"/>
          <w:sz w:val="22"/>
          <w:szCs w:val="22"/>
        </w:rPr>
        <w:t xml:space="preserve">The term </w:t>
      </w:r>
      <w:r w:rsidRPr="00F66F4A">
        <w:rPr>
          <w:rFonts w:ascii="Arial" w:hAnsi="Arial" w:cs="Arial"/>
          <w:i/>
          <w:iCs/>
          <w:sz w:val="22"/>
          <w:szCs w:val="22"/>
        </w:rPr>
        <w:t>lekgotla</w:t>
      </w:r>
      <w:r w:rsidRPr="00F66F4A">
        <w:rPr>
          <w:rFonts w:ascii="Arial" w:hAnsi="Arial" w:cs="Arial"/>
          <w:sz w:val="22"/>
          <w:szCs w:val="22"/>
        </w:rPr>
        <w:t xml:space="preserve"> reflects a culture of purposeful gathering, shared responsibility and respectful deliberation. The SCL does not exist as an alternative curriculum authority. It provides a structured mechanism through which different forms of curriculum knowledge can be brought into conversation and translated into feasible recommendations.</w:t>
      </w:r>
    </w:p>
    <w:p w14:paraId="33969438" w14:textId="77777777" w:rsidR="00706FBF" w:rsidRPr="00F66F4A" w:rsidRDefault="00706FBF" w:rsidP="00F66F4A">
      <w:pPr>
        <w:spacing w:line="360" w:lineRule="auto"/>
        <w:jc w:val="both"/>
        <w:rPr>
          <w:rFonts w:ascii="Arial" w:hAnsi="Arial" w:cs="Arial"/>
          <w:sz w:val="22"/>
          <w:szCs w:val="22"/>
        </w:rPr>
      </w:pPr>
      <w:r w:rsidRPr="00F66F4A">
        <w:rPr>
          <w:rFonts w:ascii="Arial" w:hAnsi="Arial" w:cs="Arial"/>
          <w:sz w:val="22"/>
          <w:szCs w:val="22"/>
        </w:rPr>
        <w:t>Its work is organised around three essential perspectives:</w:t>
      </w:r>
    </w:p>
    <w:p w14:paraId="32C0EA95" w14:textId="1EE35D98" w:rsidR="00706FBF" w:rsidRPr="00F66F4A" w:rsidRDefault="00706FBF">
      <w:pPr>
        <w:pStyle w:val="ListParagraph"/>
        <w:numPr>
          <w:ilvl w:val="0"/>
          <w:numId w:val="2"/>
        </w:numPr>
        <w:spacing w:line="360" w:lineRule="auto"/>
        <w:jc w:val="both"/>
        <w:rPr>
          <w:rFonts w:ascii="Arial" w:hAnsi="Arial" w:cs="Arial"/>
          <w:sz w:val="22"/>
          <w:szCs w:val="22"/>
        </w:rPr>
      </w:pPr>
      <w:r w:rsidRPr="00F66F4A">
        <w:rPr>
          <w:rFonts w:ascii="Arial" w:hAnsi="Arial" w:cs="Arial"/>
          <w:b/>
          <w:bCs/>
          <w:sz w:val="22"/>
          <w:szCs w:val="22"/>
        </w:rPr>
        <w:t>Students currently experiencing the curriculum</w:t>
      </w:r>
      <w:r w:rsidRPr="00F66F4A">
        <w:rPr>
          <w:rFonts w:ascii="Arial" w:hAnsi="Arial" w:cs="Arial"/>
          <w:sz w:val="22"/>
          <w:szCs w:val="22"/>
        </w:rPr>
        <w:t>, who provide direct insight into teaching, learning, assessment and the lived educational environment.</w:t>
      </w:r>
    </w:p>
    <w:p w14:paraId="2DF41F7C" w14:textId="77777777" w:rsidR="00706FBF" w:rsidRPr="00F66F4A" w:rsidRDefault="00706FBF">
      <w:pPr>
        <w:numPr>
          <w:ilvl w:val="0"/>
          <w:numId w:val="2"/>
        </w:numPr>
        <w:spacing w:line="360" w:lineRule="auto"/>
        <w:jc w:val="both"/>
        <w:rPr>
          <w:rFonts w:ascii="Arial" w:hAnsi="Arial" w:cs="Arial"/>
          <w:sz w:val="22"/>
          <w:szCs w:val="22"/>
        </w:rPr>
      </w:pPr>
      <w:r w:rsidRPr="00F66F4A">
        <w:rPr>
          <w:rFonts w:ascii="Arial" w:hAnsi="Arial" w:cs="Arial"/>
          <w:b/>
          <w:bCs/>
          <w:sz w:val="22"/>
          <w:szCs w:val="22"/>
        </w:rPr>
        <w:t>Staff who design, administer and deliver the curriculum</w:t>
      </w:r>
      <w:r w:rsidRPr="00F66F4A">
        <w:rPr>
          <w:rFonts w:ascii="Arial" w:hAnsi="Arial" w:cs="Arial"/>
          <w:sz w:val="22"/>
          <w:szCs w:val="22"/>
        </w:rPr>
        <w:t>, including programme leadership, course convenors, educators, clinical teachers and administrative partners.</w:t>
      </w:r>
    </w:p>
    <w:p w14:paraId="0968AB39" w14:textId="77777777" w:rsidR="00706FBF" w:rsidRPr="00F66F4A" w:rsidRDefault="00706FBF">
      <w:pPr>
        <w:numPr>
          <w:ilvl w:val="0"/>
          <w:numId w:val="2"/>
        </w:numPr>
        <w:spacing w:line="360" w:lineRule="auto"/>
        <w:jc w:val="both"/>
        <w:rPr>
          <w:rFonts w:ascii="Arial" w:hAnsi="Arial" w:cs="Arial"/>
          <w:sz w:val="22"/>
          <w:szCs w:val="22"/>
        </w:rPr>
      </w:pPr>
      <w:r w:rsidRPr="00F66F4A">
        <w:rPr>
          <w:rFonts w:ascii="Arial" w:hAnsi="Arial" w:cs="Arial"/>
          <w:b/>
          <w:bCs/>
          <w:sz w:val="22"/>
          <w:szCs w:val="22"/>
        </w:rPr>
        <w:t>Recent graduates who are testing the curriculum in practice</w:t>
      </w:r>
      <w:r w:rsidRPr="00F66F4A">
        <w:rPr>
          <w:rFonts w:ascii="Arial" w:hAnsi="Arial" w:cs="Arial"/>
          <w:sz w:val="22"/>
          <w:szCs w:val="22"/>
        </w:rPr>
        <w:t>, particularly interns and community-service professionals who can assess how effectively undergraduate training prepared them for clinical responsibility.</w:t>
      </w:r>
    </w:p>
    <w:p w14:paraId="0F7D4EA6" w14:textId="77777777" w:rsidR="00706FBF" w:rsidRPr="00F66F4A" w:rsidRDefault="00706FBF" w:rsidP="00F66F4A">
      <w:pPr>
        <w:spacing w:line="360" w:lineRule="auto"/>
        <w:jc w:val="both"/>
        <w:rPr>
          <w:rFonts w:ascii="Arial" w:hAnsi="Arial" w:cs="Arial"/>
          <w:sz w:val="22"/>
          <w:szCs w:val="22"/>
        </w:rPr>
      </w:pPr>
      <w:r w:rsidRPr="00F66F4A">
        <w:rPr>
          <w:rFonts w:ascii="Arial" w:hAnsi="Arial" w:cs="Arial"/>
          <w:sz w:val="22"/>
          <w:szCs w:val="22"/>
        </w:rPr>
        <w:t xml:space="preserve">No single group can provide a complete account of the MBChB programme. Students know how the curriculum is experienced; staff understand its design, constraints and intended </w:t>
      </w:r>
      <w:r w:rsidRPr="00F66F4A">
        <w:rPr>
          <w:rFonts w:ascii="Arial" w:hAnsi="Arial" w:cs="Arial"/>
          <w:sz w:val="22"/>
          <w:szCs w:val="22"/>
        </w:rPr>
        <w:lastRenderedPageBreak/>
        <w:t>outcomes; recent graduates can identify what became useful, what remained absent and what only became visible once they assumed responsibility for patient care.</w:t>
      </w:r>
    </w:p>
    <w:p w14:paraId="2002D3CC" w14:textId="534B3942" w:rsidR="00706FBF" w:rsidRPr="00F66F4A" w:rsidRDefault="00706FBF" w:rsidP="00F66F4A">
      <w:pPr>
        <w:spacing w:line="360" w:lineRule="auto"/>
        <w:jc w:val="both"/>
        <w:rPr>
          <w:rFonts w:ascii="Arial" w:hAnsi="Arial" w:cs="Arial"/>
          <w:sz w:val="22"/>
          <w:szCs w:val="22"/>
        </w:rPr>
      </w:pPr>
      <w:r w:rsidRPr="00F66F4A">
        <w:rPr>
          <w:rFonts w:ascii="Arial" w:hAnsi="Arial" w:cs="Arial"/>
          <w:sz w:val="22"/>
          <w:szCs w:val="22"/>
        </w:rPr>
        <w:t>The Graduate Advisory Board therefore completes an important feedback loop between curriculum design, student experience and clinical practice.</w:t>
      </w:r>
    </w:p>
    <w:p w14:paraId="24467558" w14:textId="77777777" w:rsidR="00F3666D" w:rsidRPr="00F3666D" w:rsidRDefault="00A822A5">
      <w:pPr>
        <w:pStyle w:val="ListParagraph"/>
        <w:numPr>
          <w:ilvl w:val="0"/>
          <w:numId w:val="1"/>
        </w:numPr>
        <w:spacing w:line="360" w:lineRule="auto"/>
        <w:jc w:val="both"/>
        <w:rPr>
          <w:rFonts w:ascii="Arial" w:hAnsi="Arial" w:cs="Arial"/>
          <w:sz w:val="22"/>
          <w:szCs w:val="22"/>
        </w:rPr>
      </w:pPr>
      <w:r w:rsidRPr="00F66F4A">
        <w:rPr>
          <w:rFonts w:ascii="Arial" w:hAnsi="Arial" w:cs="Arial"/>
          <w:b/>
          <w:bCs/>
          <w:sz w:val="22"/>
          <w:szCs w:val="22"/>
        </w:rPr>
        <w:t>HISTORICAL AND INSTITUTIONAL CONTEXT</w:t>
      </w:r>
    </w:p>
    <w:p w14:paraId="55E80FD4" w14:textId="77777777" w:rsidR="00974C3A" w:rsidRDefault="00E15DB7">
      <w:pPr>
        <w:pStyle w:val="ListParagraph"/>
        <w:numPr>
          <w:ilvl w:val="1"/>
          <w:numId w:val="1"/>
        </w:numPr>
        <w:spacing w:line="360" w:lineRule="auto"/>
        <w:jc w:val="both"/>
        <w:rPr>
          <w:rFonts w:ascii="Arial" w:hAnsi="Arial" w:cs="Arial"/>
          <w:sz w:val="22"/>
          <w:szCs w:val="22"/>
        </w:rPr>
      </w:pPr>
      <w:r w:rsidRPr="00974C3A">
        <w:rPr>
          <w:rFonts w:ascii="Arial" w:hAnsi="Arial" w:cs="Arial"/>
          <w:sz w:val="22"/>
          <w:szCs w:val="22"/>
        </w:rPr>
        <w:t>UCT’s medical curriculum has developed within South Africa’s broader history of colonialism, apartheid, democratic transition and continuing inequality. Its history includes significant scientific and clinical achievements, but also periods in which access, knowledge and professional authority were unequally distributed.</w:t>
      </w:r>
    </w:p>
    <w:p w14:paraId="028BE4F0" w14:textId="77777777" w:rsidR="00974C3A" w:rsidRDefault="00E15DB7">
      <w:pPr>
        <w:pStyle w:val="ListParagraph"/>
        <w:numPr>
          <w:ilvl w:val="1"/>
          <w:numId w:val="1"/>
        </w:numPr>
        <w:spacing w:line="360" w:lineRule="auto"/>
        <w:jc w:val="both"/>
        <w:rPr>
          <w:rFonts w:ascii="Arial" w:hAnsi="Arial" w:cs="Arial"/>
          <w:sz w:val="22"/>
          <w:szCs w:val="22"/>
        </w:rPr>
      </w:pPr>
      <w:r w:rsidRPr="00974C3A">
        <w:rPr>
          <w:rFonts w:ascii="Arial" w:hAnsi="Arial" w:cs="Arial"/>
          <w:sz w:val="22"/>
          <w:szCs w:val="22"/>
        </w:rPr>
        <w:t xml:space="preserve">Contemporary curriculum development must therefore preserve academic and clinical rigour while remaining attentive to context, social accountability, language, professional identity, health-system realities and the </w:t>
      </w:r>
      <w:proofErr w:type="gramStart"/>
      <w:r w:rsidRPr="00974C3A">
        <w:rPr>
          <w:rFonts w:ascii="Arial" w:hAnsi="Arial" w:cs="Arial"/>
          <w:sz w:val="22"/>
          <w:szCs w:val="22"/>
        </w:rPr>
        <w:t>communities</w:t>
      </w:r>
      <w:proofErr w:type="gramEnd"/>
      <w:r w:rsidRPr="00974C3A">
        <w:rPr>
          <w:rFonts w:ascii="Arial" w:hAnsi="Arial" w:cs="Arial"/>
          <w:sz w:val="22"/>
          <w:szCs w:val="22"/>
        </w:rPr>
        <w:t xml:space="preserve"> graduates are expected to serve.</w:t>
      </w:r>
    </w:p>
    <w:p w14:paraId="673B6B47" w14:textId="77777777" w:rsidR="00974C3A" w:rsidRDefault="00E15DB7">
      <w:pPr>
        <w:pStyle w:val="ListParagraph"/>
        <w:numPr>
          <w:ilvl w:val="1"/>
          <w:numId w:val="1"/>
        </w:numPr>
        <w:spacing w:line="360" w:lineRule="auto"/>
        <w:jc w:val="both"/>
        <w:rPr>
          <w:rFonts w:ascii="Arial" w:hAnsi="Arial" w:cs="Arial"/>
          <w:sz w:val="22"/>
          <w:szCs w:val="22"/>
        </w:rPr>
      </w:pPr>
      <w:r w:rsidRPr="00974C3A">
        <w:rPr>
          <w:rFonts w:ascii="Arial" w:hAnsi="Arial" w:cs="Arial"/>
          <w:sz w:val="22"/>
          <w:szCs w:val="22"/>
        </w:rPr>
        <w:t xml:space="preserve">The UCT MBChB programme seeks to produce clinically competent, critically reflective and socially responsive doctors. Its graduates are shaped by exposure to complex tertiary, district and community health services; diverse patients and clinical teams; resource constraints; and a </w:t>
      </w:r>
      <w:proofErr w:type="gramStart"/>
      <w:r w:rsidRPr="00974C3A">
        <w:rPr>
          <w:rFonts w:ascii="Arial" w:hAnsi="Arial" w:cs="Arial"/>
          <w:sz w:val="22"/>
          <w:szCs w:val="22"/>
        </w:rPr>
        <w:t>University</w:t>
      </w:r>
      <w:proofErr w:type="gramEnd"/>
      <w:r w:rsidRPr="00974C3A">
        <w:rPr>
          <w:rFonts w:ascii="Arial" w:hAnsi="Arial" w:cs="Arial"/>
          <w:sz w:val="22"/>
          <w:szCs w:val="22"/>
        </w:rPr>
        <w:t xml:space="preserve"> tradition in which knowledge, justice and public responsibility remain subjects of active inquiry.</w:t>
      </w:r>
    </w:p>
    <w:p w14:paraId="012B63BD" w14:textId="71A1CCD1" w:rsidR="00E15DB7" w:rsidRDefault="00E15DB7">
      <w:pPr>
        <w:pStyle w:val="ListParagraph"/>
        <w:numPr>
          <w:ilvl w:val="1"/>
          <w:numId w:val="1"/>
        </w:numPr>
        <w:spacing w:line="360" w:lineRule="auto"/>
        <w:jc w:val="both"/>
        <w:rPr>
          <w:rFonts w:ascii="Arial" w:hAnsi="Arial" w:cs="Arial"/>
          <w:sz w:val="22"/>
          <w:szCs w:val="22"/>
        </w:rPr>
      </w:pPr>
      <w:r w:rsidRPr="00974C3A">
        <w:rPr>
          <w:rFonts w:ascii="Arial" w:hAnsi="Arial" w:cs="Arial"/>
          <w:sz w:val="22"/>
          <w:szCs w:val="22"/>
        </w:rPr>
        <w:t>The Graduate Advisory Board assists the programme in identifying which elements of this formation should be protected, which should be strengthened and which require redesign.</w:t>
      </w:r>
    </w:p>
    <w:p w14:paraId="34FA89CF" w14:textId="77777777" w:rsidR="00974C3A" w:rsidRPr="00974C3A" w:rsidRDefault="00974C3A" w:rsidP="00974C3A">
      <w:pPr>
        <w:pStyle w:val="ListParagraph"/>
        <w:spacing w:line="360" w:lineRule="auto"/>
        <w:jc w:val="both"/>
        <w:rPr>
          <w:rFonts w:ascii="Arial" w:hAnsi="Arial" w:cs="Arial"/>
          <w:sz w:val="22"/>
          <w:szCs w:val="22"/>
        </w:rPr>
      </w:pPr>
    </w:p>
    <w:p w14:paraId="161A184E" w14:textId="3338A4B7" w:rsidR="00E15DB7" w:rsidRPr="00F66F4A" w:rsidRDefault="00A822A5">
      <w:pPr>
        <w:pStyle w:val="ListParagraph"/>
        <w:numPr>
          <w:ilvl w:val="0"/>
          <w:numId w:val="1"/>
        </w:numPr>
        <w:spacing w:line="360" w:lineRule="auto"/>
        <w:jc w:val="both"/>
        <w:rPr>
          <w:rFonts w:ascii="Arial" w:hAnsi="Arial" w:cs="Arial"/>
          <w:b/>
          <w:bCs/>
          <w:sz w:val="22"/>
          <w:szCs w:val="22"/>
        </w:rPr>
      </w:pPr>
      <w:r w:rsidRPr="00F66F4A">
        <w:rPr>
          <w:rFonts w:ascii="Arial" w:hAnsi="Arial" w:cs="Arial"/>
          <w:b/>
          <w:bCs/>
          <w:sz w:val="22"/>
          <w:szCs w:val="22"/>
        </w:rPr>
        <w:t>PURPOSE</w:t>
      </w:r>
    </w:p>
    <w:p w14:paraId="0CEAFB97" w14:textId="77777777" w:rsidR="00A07626" w:rsidRPr="00F66F4A" w:rsidRDefault="00A07626" w:rsidP="00F702CE">
      <w:p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The purpose of the Graduate Advisory Board is to provide the MBChB Programme with timely, practice-informed advice from recent graduates regarding:</w:t>
      </w:r>
    </w:p>
    <w:p w14:paraId="2DC2995D" w14:textId="77777777" w:rsidR="00A07626" w:rsidRPr="00F66F4A" w:rsidRDefault="00A07626" w:rsidP="00F702CE">
      <w:pPr>
        <w:numPr>
          <w:ilvl w:val="0"/>
          <w:numId w:val="3"/>
        </w:num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preparedness for internship and early clinical practice;</w:t>
      </w:r>
    </w:p>
    <w:p w14:paraId="1D823F88" w14:textId="77777777" w:rsidR="00A07626" w:rsidRPr="00F66F4A" w:rsidRDefault="00A07626" w:rsidP="00F702CE">
      <w:pPr>
        <w:numPr>
          <w:ilvl w:val="0"/>
          <w:numId w:val="3"/>
        </w:num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the relationship between the formal curriculum and workplace expectations;</w:t>
      </w:r>
    </w:p>
    <w:p w14:paraId="28CC0778" w14:textId="77777777" w:rsidR="00A07626" w:rsidRPr="00F66F4A" w:rsidRDefault="00A07626" w:rsidP="00F702CE">
      <w:pPr>
        <w:numPr>
          <w:ilvl w:val="0"/>
          <w:numId w:val="3"/>
        </w:num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strengths of the UCT MBChB educational experience that should be preserved;</w:t>
      </w:r>
    </w:p>
    <w:p w14:paraId="36474FE0" w14:textId="77777777" w:rsidR="00A07626" w:rsidRPr="00F66F4A" w:rsidRDefault="00A07626" w:rsidP="00F702CE">
      <w:pPr>
        <w:numPr>
          <w:ilvl w:val="0"/>
          <w:numId w:val="3"/>
        </w:num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gaps, redundancies or unintended consequences within the programme;</w:t>
      </w:r>
    </w:p>
    <w:p w14:paraId="68D01093" w14:textId="77777777" w:rsidR="00A07626" w:rsidRPr="00F66F4A" w:rsidRDefault="00A07626" w:rsidP="00F702CE">
      <w:pPr>
        <w:numPr>
          <w:ilvl w:val="0"/>
          <w:numId w:val="3"/>
        </w:numPr>
        <w:spacing w:after="0"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opportunities to improve curriculum coherence, relevance and transition into practice; and</w:t>
      </w:r>
    </w:p>
    <w:p w14:paraId="1118CD31" w14:textId="77777777" w:rsidR="00A07626" w:rsidRPr="00F66F4A" w:rsidRDefault="00A07626">
      <w:pPr>
        <w:numPr>
          <w:ilvl w:val="0"/>
          <w:numId w:val="3"/>
        </w:numPr>
        <w:spacing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t>emerging clinical, professional and health-system needs that should inform programme development.</w:t>
      </w:r>
    </w:p>
    <w:p w14:paraId="7F8498F4" w14:textId="77777777" w:rsidR="00A07626" w:rsidRPr="00F66F4A" w:rsidRDefault="00A07626" w:rsidP="00F66F4A">
      <w:pPr>
        <w:spacing w:line="360" w:lineRule="auto"/>
        <w:jc w:val="both"/>
        <w:rPr>
          <w:rFonts w:ascii="Arial" w:eastAsia="Times New Roman" w:hAnsi="Arial" w:cs="Arial"/>
          <w:kern w:val="0"/>
          <w:sz w:val="22"/>
          <w:szCs w:val="22"/>
          <w:lang w:eastAsia="en-ZA"/>
          <w14:ligatures w14:val="none"/>
        </w:rPr>
      </w:pPr>
      <w:r w:rsidRPr="00F66F4A">
        <w:rPr>
          <w:rFonts w:ascii="Arial" w:eastAsia="Times New Roman" w:hAnsi="Arial" w:cs="Arial"/>
          <w:kern w:val="0"/>
          <w:sz w:val="22"/>
          <w:szCs w:val="22"/>
          <w:lang w:eastAsia="en-ZA"/>
          <w14:ligatures w14:val="none"/>
        </w:rPr>
        <w:lastRenderedPageBreak/>
        <w:t xml:space="preserve">The Board provides a retrospective view of the curriculum while members’ experience remains recent enough for detailed </w:t>
      </w:r>
      <w:proofErr w:type="gramStart"/>
      <w:r w:rsidRPr="00F66F4A">
        <w:rPr>
          <w:rFonts w:ascii="Arial" w:eastAsia="Times New Roman" w:hAnsi="Arial" w:cs="Arial"/>
          <w:kern w:val="0"/>
          <w:sz w:val="22"/>
          <w:szCs w:val="22"/>
          <w:lang w:eastAsia="en-ZA"/>
          <w14:ligatures w14:val="none"/>
        </w:rPr>
        <w:t>comparison, but</w:t>
      </w:r>
      <w:proofErr w:type="gramEnd"/>
      <w:r w:rsidRPr="00F66F4A">
        <w:rPr>
          <w:rFonts w:ascii="Arial" w:eastAsia="Times New Roman" w:hAnsi="Arial" w:cs="Arial"/>
          <w:kern w:val="0"/>
          <w:sz w:val="22"/>
          <w:szCs w:val="22"/>
          <w:lang w:eastAsia="en-ZA"/>
          <w14:ligatures w14:val="none"/>
        </w:rPr>
        <w:t xml:space="preserve"> sufficiently informed by clinical responsibility to identify matters that may not have been apparent as students.</w:t>
      </w:r>
    </w:p>
    <w:p w14:paraId="7ABFA61F" w14:textId="15B2C5A6" w:rsidR="00A07626" w:rsidRPr="00F66F4A" w:rsidRDefault="00A822A5">
      <w:pPr>
        <w:pStyle w:val="ListParagraph"/>
        <w:numPr>
          <w:ilvl w:val="0"/>
          <w:numId w:val="1"/>
        </w:numPr>
        <w:spacing w:line="360" w:lineRule="auto"/>
        <w:jc w:val="both"/>
        <w:rPr>
          <w:rFonts w:ascii="Arial" w:hAnsi="Arial" w:cs="Arial"/>
          <w:b/>
          <w:bCs/>
          <w:sz w:val="22"/>
          <w:szCs w:val="22"/>
        </w:rPr>
      </w:pPr>
      <w:r w:rsidRPr="00F66F4A">
        <w:rPr>
          <w:rFonts w:ascii="Arial" w:hAnsi="Arial" w:cs="Arial"/>
          <w:b/>
          <w:bCs/>
          <w:sz w:val="22"/>
          <w:szCs w:val="22"/>
        </w:rPr>
        <w:t>SCOPE</w:t>
      </w:r>
    </w:p>
    <w:p w14:paraId="63C4B5A7" w14:textId="77777777" w:rsidR="00715A38" w:rsidRPr="00F66F4A" w:rsidRDefault="00AB3E31" w:rsidP="00F66F4A">
      <w:pPr>
        <w:spacing w:line="360" w:lineRule="auto"/>
        <w:jc w:val="both"/>
        <w:rPr>
          <w:rFonts w:ascii="Arial" w:hAnsi="Arial" w:cs="Arial"/>
          <w:sz w:val="22"/>
          <w:szCs w:val="22"/>
        </w:rPr>
      </w:pPr>
      <w:r w:rsidRPr="00F66F4A">
        <w:rPr>
          <w:rFonts w:ascii="Arial" w:hAnsi="Arial" w:cs="Arial"/>
          <w:sz w:val="22"/>
          <w:szCs w:val="22"/>
        </w:rPr>
        <w:t> </w:t>
      </w:r>
      <w:r w:rsidR="00715A38" w:rsidRPr="00F66F4A">
        <w:rPr>
          <w:rFonts w:ascii="Arial" w:hAnsi="Arial" w:cs="Arial"/>
          <w:sz w:val="22"/>
          <w:szCs w:val="22"/>
        </w:rPr>
        <w:t>The Board is expected to advise on the following areas:</w:t>
      </w:r>
    </w:p>
    <w:p w14:paraId="219ED9C2" w14:textId="5039EC31" w:rsidR="00715A38" w:rsidRPr="00F66F4A" w:rsidRDefault="00715A38">
      <w:pPr>
        <w:pStyle w:val="ListParagraph"/>
        <w:numPr>
          <w:ilvl w:val="1"/>
          <w:numId w:val="1"/>
        </w:numPr>
        <w:spacing w:line="360" w:lineRule="auto"/>
        <w:jc w:val="both"/>
        <w:rPr>
          <w:rFonts w:ascii="Arial" w:hAnsi="Arial" w:cs="Arial"/>
          <w:sz w:val="22"/>
          <w:szCs w:val="22"/>
        </w:rPr>
      </w:pPr>
      <w:r w:rsidRPr="00F66F4A">
        <w:rPr>
          <w:rFonts w:ascii="Arial" w:hAnsi="Arial" w:cs="Arial"/>
          <w:b/>
          <w:bCs/>
          <w:sz w:val="22"/>
          <w:szCs w:val="22"/>
        </w:rPr>
        <w:t>Clinical preparedness</w:t>
      </w:r>
    </w:p>
    <w:p w14:paraId="6614BADF" w14:textId="77777777" w:rsidR="00715A38" w:rsidRPr="00F66F4A" w:rsidRDefault="00715A38" w:rsidP="00F66F4A">
      <w:pPr>
        <w:spacing w:after="0" w:line="360" w:lineRule="auto"/>
        <w:jc w:val="both"/>
        <w:rPr>
          <w:rFonts w:ascii="Arial" w:hAnsi="Arial" w:cs="Arial"/>
          <w:sz w:val="22"/>
          <w:szCs w:val="22"/>
        </w:rPr>
      </w:pPr>
      <w:r w:rsidRPr="00F66F4A">
        <w:rPr>
          <w:rFonts w:ascii="Arial" w:hAnsi="Arial" w:cs="Arial"/>
          <w:sz w:val="22"/>
          <w:szCs w:val="22"/>
        </w:rPr>
        <w:t>The extent to which graduates were prepared for:</w:t>
      </w:r>
    </w:p>
    <w:p w14:paraId="4451DD38" w14:textId="77777777" w:rsidR="00715A38" w:rsidRPr="00F66F4A" w:rsidRDefault="00715A38">
      <w:pPr>
        <w:numPr>
          <w:ilvl w:val="0"/>
          <w:numId w:val="4"/>
        </w:numPr>
        <w:spacing w:after="0" w:line="360" w:lineRule="auto"/>
        <w:jc w:val="both"/>
        <w:rPr>
          <w:rFonts w:ascii="Arial" w:hAnsi="Arial" w:cs="Arial"/>
          <w:sz w:val="22"/>
          <w:szCs w:val="22"/>
        </w:rPr>
      </w:pPr>
      <w:r w:rsidRPr="00F66F4A">
        <w:rPr>
          <w:rFonts w:ascii="Arial" w:hAnsi="Arial" w:cs="Arial"/>
          <w:sz w:val="22"/>
          <w:szCs w:val="22"/>
        </w:rPr>
        <w:t>initial assessment and management of acutely unwell patients;</w:t>
      </w:r>
    </w:p>
    <w:p w14:paraId="13A08FE1" w14:textId="77777777" w:rsidR="00715A38" w:rsidRPr="00F66F4A" w:rsidRDefault="00715A38">
      <w:pPr>
        <w:numPr>
          <w:ilvl w:val="0"/>
          <w:numId w:val="4"/>
        </w:numPr>
        <w:spacing w:after="0" w:line="360" w:lineRule="auto"/>
        <w:jc w:val="both"/>
        <w:rPr>
          <w:rFonts w:ascii="Arial" w:hAnsi="Arial" w:cs="Arial"/>
          <w:sz w:val="22"/>
          <w:szCs w:val="22"/>
        </w:rPr>
      </w:pPr>
      <w:r w:rsidRPr="00F66F4A">
        <w:rPr>
          <w:rFonts w:ascii="Arial" w:hAnsi="Arial" w:cs="Arial"/>
          <w:sz w:val="22"/>
          <w:szCs w:val="22"/>
        </w:rPr>
        <w:t>clinical prioritisation, escalation and handover;</w:t>
      </w:r>
    </w:p>
    <w:p w14:paraId="11BC58BF" w14:textId="77777777" w:rsidR="00715A38" w:rsidRPr="00F66F4A" w:rsidRDefault="00715A38">
      <w:pPr>
        <w:numPr>
          <w:ilvl w:val="0"/>
          <w:numId w:val="4"/>
        </w:numPr>
        <w:spacing w:after="0" w:line="360" w:lineRule="auto"/>
        <w:jc w:val="both"/>
        <w:rPr>
          <w:rFonts w:ascii="Arial" w:hAnsi="Arial" w:cs="Arial"/>
          <w:sz w:val="22"/>
          <w:szCs w:val="22"/>
        </w:rPr>
      </w:pPr>
      <w:r w:rsidRPr="00F66F4A">
        <w:rPr>
          <w:rFonts w:ascii="Arial" w:hAnsi="Arial" w:cs="Arial"/>
          <w:sz w:val="22"/>
          <w:szCs w:val="22"/>
        </w:rPr>
        <w:t>practical procedures and documentation;</w:t>
      </w:r>
    </w:p>
    <w:p w14:paraId="01A55F19" w14:textId="77777777" w:rsidR="00715A38" w:rsidRPr="00F66F4A" w:rsidRDefault="00715A38">
      <w:pPr>
        <w:numPr>
          <w:ilvl w:val="0"/>
          <w:numId w:val="4"/>
        </w:numPr>
        <w:spacing w:after="0" w:line="360" w:lineRule="auto"/>
        <w:jc w:val="both"/>
        <w:rPr>
          <w:rFonts w:ascii="Arial" w:hAnsi="Arial" w:cs="Arial"/>
          <w:sz w:val="22"/>
          <w:szCs w:val="22"/>
        </w:rPr>
      </w:pPr>
      <w:r w:rsidRPr="00F66F4A">
        <w:rPr>
          <w:rFonts w:ascii="Arial" w:hAnsi="Arial" w:cs="Arial"/>
          <w:sz w:val="22"/>
          <w:szCs w:val="22"/>
        </w:rPr>
        <w:t>safe prescribing and investigation;</w:t>
      </w:r>
    </w:p>
    <w:p w14:paraId="403DEF0A" w14:textId="77777777" w:rsidR="00715A38" w:rsidRPr="00F66F4A" w:rsidRDefault="00715A38">
      <w:pPr>
        <w:numPr>
          <w:ilvl w:val="0"/>
          <w:numId w:val="4"/>
        </w:numPr>
        <w:spacing w:after="0" w:line="360" w:lineRule="auto"/>
        <w:jc w:val="both"/>
        <w:rPr>
          <w:rFonts w:ascii="Arial" w:hAnsi="Arial" w:cs="Arial"/>
          <w:sz w:val="22"/>
          <w:szCs w:val="22"/>
        </w:rPr>
      </w:pPr>
      <w:r w:rsidRPr="00F66F4A">
        <w:rPr>
          <w:rFonts w:ascii="Arial" w:hAnsi="Arial" w:cs="Arial"/>
          <w:sz w:val="22"/>
          <w:szCs w:val="22"/>
        </w:rPr>
        <w:t>on-call work and increasing clinical responsibility; and</w:t>
      </w:r>
    </w:p>
    <w:p w14:paraId="3D99B41F" w14:textId="77777777" w:rsidR="00715A38" w:rsidRPr="00F66F4A" w:rsidRDefault="00715A38">
      <w:pPr>
        <w:numPr>
          <w:ilvl w:val="0"/>
          <w:numId w:val="4"/>
        </w:numPr>
        <w:spacing w:line="360" w:lineRule="auto"/>
        <w:jc w:val="both"/>
        <w:rPr>
          <w:rFonts w:ascii="Arial" w:hAnsi="Arial" w:cs="Arial"/>
          <w:sz w:val="22"/>
          <w:szCs w:val="22"/>
        </w:rPr>
      </w:pPr>
      <w:r w:rsidRPr="00F66F4A">
        <w:rPr>
          <w:rFonts w:ascii="Arial" w:hAnsi="Arial" w:cs="Arial"/>
          <w:sz w:val="22"/>
          <w:szCs w:val="22"/>
        </w:rPr>
        <w:t>recognising personal limitations and seeking appropriate assistance.</w:t>
      </w:r>
    </w:p>
    <w:p w14:paraId="0B87FC22" w14:textId="032F49EE" w:rsidR="00715A38" w:rsidRPr="00F66F4A" w:rsidRDefault="00715A38">
      <w:pPr>
        <w:pStyle w:val="ListParagraph"/>
        <w:numPr>
          <w:ilvl w:val="1"/>
          <w:numId w:val="1"/>
        </w:numPr>
        <w:spacing w:line="360" w:lineRule="auto"/>
        <w:jc w:val="both"/>
        <w:rPr>
          <w:rFonts w:ascii="Arial" w:hAnsi="Arial" w:cs="Arial"/>
          <w:sz w:val="22"/>
          <w:szCs w:val="22"/>
        </w:rPr>
      </w:pPr>
      <w:r w:rsidRPr="00F66F4A">
        <w:rPr>
          <w:rFonts w:ascii="Arial" w:hAnsi="Arial" w:cs="Arial"/>
          <w:b/>
          <w:bCs/>
          <w:sz w:val="22"/>
          <w:szCs w:val="22"/>
        </w:rPr>
        <w:t>Health-system preparedness</w:t>
      </w:r>
    </w:p>
    <w:p w14:paraId="7AE049F6" w14:textId="77777777" w:rsidR="00715A38" w:rsidRPr="00F66F4A" w:rsidRDefault="00715A38" w:rsidP="00F66F4A">
      <w:pPr>
        <w:spacing w:after="0" w:line="360" w:lineRule="auto"/>
        <w:jc w:val="both"/>
        <w:rPr>
          <w:rFonts w:ascii="Arial" w:hAnsi="Arial" w:cs="Arial"/>
          <w:sz w:val="22"/>
          <w:szCs w:val="22"/>
        </w:rPr>
      </w:pPr>
      <w:r w:rsidRPr="00F66F4A">
        <w:rPr>
          <w:rFonts w:ascii="Arial" w:hAnsi="Arial" w:cs="Arial"/>
          <w:sz w:val="22"/>
          <w:szCs w:val="22"/>
        </w:rPr>
        <w:t>Graduates’ readiness to navigate:</w:t>
      </w:r>
    </w:p>
    <w:p w14:paraId="0982699E" w14:textId="77777777" w:rsidR="00715A38" w:rsidRPr="00F66F4A" w:rsidRDefault="00715A38">
      <w:pPr>
        <w:numPr>
          <w:ilvl w:val="0"/>
          <w:numId w:val="5"/>
        </w:numPr>
        <w:spacing w:after="0" w:line="360" w:lineRule="auto"/>
        <w:jc w:val="both"/>
        <w:rPr>
          <w:rFonts w:ascii="Arial" w:hAnsi="Arial" w:cs="Arial"/>
          <w:sz w:val="22"/>
          <w:szCs w:val="22"/>
        </w:rPr>
      </w:pPr>
      <w:r w:rsidRPr="00F66F4A">
        <w:rPr>
          <w:rFonts w:ascii="Arial" w:hAnsi="Arial" w:cs="Arial"/>
          <w:sz w:val="22"/>
          <w:szCs w:val="22"/>
        </w:rPr>
        <w:t>referral pathways and levels of care;</w:t>
      </w:r>
    </w:p>
    <w:p w14:paraId="6B1A80A0" w14:textId="77777777" w:rsidR="00715A38" w:rsidRPr="00F66F4A" w:rsidRDefault="00715A38">
      <w:pPr>
        <w:numPr>
          <w:ilvl w:val="0"/>
          <w:numId w:val="5"/>
        </w:numPr>
        <w:spacing w:after="0" w:line="360" w:lineRule="auto"/>
        <w:jc w:val="both"/>
        <w:rPr>
          <w:rFonts w:ascii="Arial" w:hAnsi="Arial" w:cs="Arial"/>
          <w:sz w:val="22"/>
          <w:szCs w:val="22"/>
        </w:rPr>
      </w:pPr>
      <w:r w:rsidRPr="00F66F4A">
        <w:rPr>
          <w:rFonts w:ascii="Arial" w:hAnsi="Arial" w:cs="Arial"/>
          <w:sz w:val="22"/>
          <w:szCs w:val="22"/>
        </w:rPr>
        <w:t>resource-constrained clinical environments;</w:t>
      </w:r>
    </w:p>
    <w:p w14:paraId="72C57D19" w14:textId="77777777" w:rsidR="00715A38" w:rsidRPr="00F66F4A" w:rsidRDefault="00715A38">
      <w:pPr>
        <w:numPr>
          <w:ilvl w:val="0"/>
          <w:numId w:val="5"/>
        </w:numPr>
        <w:spacing w:after="0" w:line="360" w:lineRule="auto"/>
        <w:jc w:val="both"/>
        <w:rPr>
          <w:rFonts w:ascii="Arial" w:hAnsi="Arial" w:cs="Arial"/>
          <w:sz w:val="22"/>
          <w:szCs w:val="22"/>
        </w:rPr>
      </w:pPr>
      <w:r w:rsidRPr="00F66F4A">
        <w:rPr>
          <w:rFonts w:ascii="Arial" w:hAnsi="Arial" w:cs="Arial"/>
          <w:sz w:val="22"/>
          <w:szCs w:val="22"/>
        </w:rPr>
        <w:t>multidisciplinary and interprofessional teams;</w:t>
      </w:r>
    </w:p>
    <w:p w14:paraId="1D5D1568" w14:textId="77777777" w:rsidR="00715A38" w:rsidRPr="00F66F4A" w:rsidRDefault="00715A38">
      <w:pPr>
        <w:numPr>
          <w:ilvl w:val="0"/>
          <w:numId w:val="5"/>
        </w:numPr>
        <w:spacing w:after="0" w:line="360" w:lineRule="auto"/>
        <w:jc w:val="both"/>
        <w:rPr>
          <w:rFonts w:ascii="Arial" w:hAnsi="Arial" w:cs="Arial"/>
          <w:sz w:val="22"/>
          <w:szCs w:val="22"/>
        </w:rPr>
      </w:pPr>
      <w:r w:rsidRPr="00F66F4A">
        <w:rPr>
          <w:rFonts w:ascii="Arial" w:hAnsi="Arial" w:cs="Arial"/>
          <w:sz w:val="22"/>
          <w:szCs w:val="22"/>
        </w:rPr>
        <w:t>administrative and medico-legal responsibilities;</w:t>
      </w:r>
    </w:p>
    <w:p w14:paraId="170AEADC" w14:textId="77777777" w:rsidR="00715A38" w:rsidRPr="00F66F4A" w:rsidRDefault="00715A38">
      <w:pPr>
        <w:numPr>
          <w:ilvl w:val="0"/>
          <w:numId w:val="5"/>
        </w:numPr>
        <w:spacing w:after="0" w:line="360" w:lineRule="auto"/>
        <w:jc w:val="both"/>
        <w:rPr>
          <w:rFonts w:ascii="Arial" w:hAnsi="Arial" w:cs="Arial"/>
          <w:sz w:val="22"/>
          <w:szCs w:val="22"/>
        </w:rPr>
      </w:pPr>
      <w:r w:rsidRPr="00F66F4A">
        <w:rPr>
          <w:rFonts w:ascii="Arial" w:hAnsi="Arial" w:cs="Arial"/>
          <w:sz w:val="22"/>
          <w:szCs w:val="22"/>
        </w:rPr>
        <w:t>continuity of care and discharge planning; and</w:t>
      </w:r>
    </w:p>
    <w:p w14:paraId="6BC6DC2D" w14:textId="77777777" w:rsidR="00715A38" w:rsidRPr="00F66F4A" w:rsidRDefault="00715A38">
      <w:pPr>
        <w:numPr>
          <w:ilvl w:val="0"/>
          <w:numId w:val="5"/>
        </w:numPr>
        <w:spacing w:line="360" w:lineRule="auto"/>
        <w:jc w:val="both"/>
        <w:rPr>
          <w:rFonts w:ascii="Arial" w:hAnsi="Arial" w:cs="Arial"/>
          <w:sz w:val="22"/>
          <w:szCs w:val="22"/>
        </w:rPr>
      </w:pPr>
      <w:r w:rsidRPr="00F66F4A">
        <w:rPr>
          <w:rFonts w:ascii="Arial" w:hAnsi="Arial" w:cs="Arial"/>
          <w:sz w:val="22"/>
          <w:szCs w:val="22"/>
        </w:rPr>
        <w:t>the organisational cultures of hospitals, clinics and community services.</w:t>
      </w:r>
    </w:p>
    <w:p w14:paraId="7FCA83D1" w14:textId="229D66CD" w:rsidR="00715A38" w:rsidRPr="00F66F4A" w:rsidRDefault="00715A38">
      <w:pPr>
        <w:pStyle w:val="ListParagraph"/>
        <w:numPr>
          <w:ilvl w:val="1"/>
          <w:numId w:val="1"/>
        </w:numPr>
        <w:spacing w:line="360" w:lineRule="auto"/>
        <w:jc w:val="both"/>
        <w:rPr>
          <w:rFonts w:ascii="Arial" w:hAnsi="Arial" w:cs="Arial"/>
          <w:sz w:val="22"/>
          <w:szCs w:val="22"/>
        </w:rPr>
      </w:pPr>
      <w:r w:rsidRPr="00F66F4A">
        <w:rPr>
          <w:rFonts w:ascii="Arial" w:hAnsi="Arial" w:cs="Arial"/>
          <w:b/>
          <w:bCs/>
          <w:sz w:val="22"/>
          <w:szCs w:val="22"/>
        </w:rPr>
        <w:t>Professional formation</w:t>
      </w:r>
    </w:p>
    <w:p w14:paraId="172FE084" w14:textId="77777777" w:rsidR="00715A38" w:rsidRPr="00F66F4A" w:rsidRDefault="00715A38" w:rsidP="00F66F4A">
      <w:pPr>
        <w:spacing w:after="0" w:line="360" w:lineRule="auto"/>
        <w:jc w:val="both"/>
        <w:rPr>
          <w:rFonts w:ascii="Arial" w:hAnsi="Arial" w:cs="Arial"/>
          <w:sz w:val="22"/>
          <w:szCs w:val="22"/>
        </w:rPr>
      </w:pPr>
      <w:r w:rsidRPr="00F66F4A">
        <w:rPr>
          <w:rFonts w:ascii="Arial" w:hAnsi="Arial" w:cs="Arial"/>
          <w:sz w:val="22"/>
          <w:szCs w:val="22"/>
        </w:rPr>
        <w:t>The development of:</w:t>
      </w:r>
    </w:p>
    <w:p w14:paraId="22C4D789" w14:textId="77777777" w:rsidR="00715A38" w:rsidRPr="00F66F4A" w:rsidRDefault="00715A38">
      <w:pPr>
        <w:numPr>
          <w:ilvl w:val="0"/>
          <w:numId w:val="6"/>
        </w:numPr>
        <w:spacing w:after="0" w:line="360" w:lineRule="auto"/>
        <w:jc w:val="both"/>
        <w:rPr>
          <w:rFonts w:ascii="Arial" w:hAnsi="Arial" w:cs="Arial"/>
          <w:sz w:val="22"/>
          <w:szCs w:val="22"/>
        </w:rPr>
      </w:pPr>
      <w:r w:rsidRPr="00F66F4A">
        <w:rPr>
          <w:rFonts w:ascii="Arial" w:hAnsi="Arial" w:cs="Arial"/>
          <w:sz w:val="22"/>
          <w:szCs w:val="22"/>
        </w:rPr>
        <w:t>professional judgement and ethical reasoning;</w:t>
      </w:r>
    </w:p>
    <w:p w14:paraId="748D635B" w14:textId="77777777" w:rsidR="00715A38" w:rsidRPr="00F66F4A" w:rsidRDefault="00715A38">
      <w:pPr>
        <w:numPr>
          <w:ilvl w:val="0"/>
          <w:numId w:val="6"/>
        </w:numPr>
        <w:spacing w:after="0" w:line="360" w:lineRule="auto"/>
        <w:jc w:val="both"/>
        <w:rPr>
          <w:rFonts w:ascii="Arial" w:hAnsi="Arial" w:cs="Arial"/>
          <w:sz w:val="22"/>
          <w:szCs w:val="22"/>
        </w:rPr>
      </w:pPr>
      <w:r w:rsidRPr="00F66F4A">
        <w:rPr>
          <w:rFonts w:ascii="Arial" w:hAnsi="Arial" w:cs="Arial"/>
          <w:sz w:val="22"/>
          <w:szCs w:val="22"/>
        </w:rPr>
        <w:t>communication across linguistic and cultural differences;</w:t>
      </w:r>
    </w:p>
    <w:p w14:paraId="6F2989ED" w14:textId="77777777" w:rsidR="00715A38" w:rsidRPr="00F66F4A" w:rsidRDefault="00715A38">
      <w:pPr>
        <w:numPr>
          <w:ilvl w:val="0"/>
          <w:numId w:val="6"/>
        </w:numPr>
        <w:spacing w:after="0" w:line="360" w:lineRule="auto"/>
        <w:jc w:val="both"/>
        <w:rPr>
          <w:rFonts w:ascii="Arial" w:hAnsi="Arial" w:cs="Arial"/>
          <w:sz w:val="22"/>
          <w:szCs w:val="22"/>
        </w:rPr>
      </w:pPr>
      <w:r w:rsidRPr="00F66F4A">
        <w:rPr>
          <w:rFonts w:ascii="Arial" w:hAnsi="Arial" w:cs="Arial"/>
          <w:sz w:val="22"/>
          <w:szCs w:val="22"/>
        </w:rPr>
        <w:t>accountability to patients, colleagues and communities;</w:t>
      </w:r>
    </w:p>
    <w:p w14:paraId="279D2A48" w14:textId="77777777" w:rsidR="00715A38" w:rsidRPr="00F66F4A" w:rsidRDefault="00715A38">
      <w:pPr>
        <w:numPr>
          <w:ilvl w:val="0"/>
          <w:numId w:val="6"/>
        </w:numPr>
        <w:spacing w:after="0" w:line="360" w:lineRule="auto"/>
        <w:jc w:val="both"/>
        <w:rPr>
          <w:rFonts w:ascii="Arial" w:hAnsi="Arial" w:cs="Arial"/>
          <w:sz w:val="22"/>
          <w:szCs w:val="22"/>
        </w:rPr>
      </w:pPr>
      <w:r w:rsidRPr="00F66F4A">
        <w:rPr>
          <w:rFonts w:ascii="Arial" w:hAnsi="Arial" w:cs="Arial"/>
          <w:sz w:val="22"/>
          <w:szCs w:val="22"/>
        </w:rPr>
        <w:t>teamwork, leadership and conflict navigation;</w:t>
      </w:r>
    </w:p>
    <w:p w14:paraId="536BD642" w14:textId="77777777" w:rsidR="00715A38" w:rsidRPr="00F66F4A" w:rsidRDefault="00715A38">
      <w:pPr>
        <w:numPr>
          <w:ilvl w:val="0"/>
          <w:numId w:val="6"/>
        </w:numPr>
        <w:spacing w:after="0" w:line="360" w:lineRule="auto"/>
        <w:jc w:val="both"/>
        <w:rPr>
          <w:rFonts w:ascii="Arial" w:hAnsi="Arial" w:cs="Arial"/>
          <w:sz w:val="22"/>
          <w:szCs w:val="22"/>
        </w:rPr>
      </w:pPr>
      <w:r w:rsidRPr="00F66F4A">
        <w:rPr>
          <w:rFonts w:ascii="Arial" w:hAnsi="Arial" w:cs="Arial"/>
          <w:sz w:val="22"/>
          <w:szCs w:val="22"/>
        </w:rPr>
        <w:t>reflective practice and lifelong learning; and</w:t>
      </w:r>
    </w:p>
    <w:p w14:paraId="38B27EA3" w14:textId="77777777" w:rsidR="00715A38" w:rsidRPr="00F66F4A" w:rsidRDefault="00715A38">
      <w:pPr>
        <w:numPr>
          <w:ilvl w:val="0"/>
          <w:numId w:val="6"/>
        </w:numPr>
        <w:spacing w:line="360" w:lineRule="auto"/>
        <w:jc w:val="both"/>
        <w:rPr>
          <w:rFonts w:ascii="Arial" w:hAnsi="Arial" w:cs="Arial"/>
          <w:sz w:val="22"/>
          <w:szCs w:val="22"/>
        </w:rPr>
      </w:pPr>
      <w:r w:rsidRPr="00F66F4A">
        <w:rPr>
          <w:rFonts w:ascii="Arial" w:hAnsi="Arial" w:cs="Arial"/>
          <w:sz w:val="22"/>
          <w:szCs w:val="22"/>
        </w:rPr>
        <w:t>resilience, help-seeking and sustainable professional habits.</w:t>
      </w:r>
    </w:p>
    <w:p w14:paraId="1CD7880D" w14:textId="559292A0" w:rsidR="00715A38" w:rsidRPr="00F66F4A" w:rsidRDefault="00715A38">
      <w:pPr>
        <w:pStyle w:val="ListParagraph"/>
        <w:numPr>
          <w:ilvl w:val="1"/>
          <w:numId w:val="1"/>
        </w:numPr>
        <w:spacing w:line="360" w:lineRule="auto"/>
        <w:jc w:val="both"/>
        <w:rPr>
          <w:rFonts w:ascii="Arial" w:hAnsi="Arial" w:cs="Arial"/>
          <w:sz w:val="22"/>
          <w:szCs w:val="22"/>
        </w:rPr>
      </w:pPr>
      <w:r w:rsidRPr="00F66F4A">
        <w:rPr>
          <w:rFonts w:ascii="Arial" w:hAnsi="Arial" w:cs="Arial"/>
          <w:b/>
          <w:bCs/>
          <w:sz w:val="22"/>
          <w:szCs w:val="22"/>
        </w:rPr>
        <w:t>Curriculum design and coherence</w:t>
      </w:r>
    </w:p>
    <w:p w14:paraId="138B2714" w14:textId="77777777" w:rsidR="00715A38" w:rsidRPr="00F66F4A" w:rsidRDefault="00715A38" w:rsidP="00F66F4A">
      <w:pPr>
        <w:spacing w:after="0" w:line="360" w:lineRule="auto"/>
        <w:jc w:val="both"/>
        <w:rPr>
          <w:rFonts w:ascii="Arial" w:hAnsi="Arial" w:cs="Arial"/>
          <w:sz w:val="22"/>
          <w:szCs w:val="22"/>
        </w:rPr>
      </w:pPr>
      <w:r w:rsidRPr="00F66F4A">
        <w:rPr>
          <w:rFonts w:ascii="Arial" w:hAnsi="Arial" w:cs="Arial"/>
          <w:sz w:val="22"/>
          <w:szCs w:val="22"/>
        </w:rPr>
        <w:t>The relevance, sequencing and integration of:</w:t>
      </w:r>
    </w:p>
    <w:p w14:paraId="5C66E143"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t>foundational and clinical sciences;</w:t>
      </w:r>
    </w:p>
    <w:p w14:paraId="71DCAD9D"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lastRenderedPageBreak/>
        <w:t>clinical rotations and workplace-based learning;</w:t>
      </w:r>
    </w:p>
    <w:p w14:paraId="39FD5DEA"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t>assessment practices;</w:t>
      </w:r>
    </w:p>
    <w:p w14:paraId="4808B9D7"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t>procedural and practical skills;</w:t>
      </w:r>
    </w:p>
    <w:p w14:paraId="11CE5329"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t>health systems, public health and social accountability;</w:t>
      </w:r>
    </w:p>
    <w:p w14:paraId="33590E82" w14:textId="77777777" w:rsidR="00715A38" w:rsidRPr="00F66F4A" w:rsidRDefault="00715A38">
      <w:pPr>
        <w:numPr>
          <w:ilvl w:val="0"/>
          <w:numId w:val="7"/>
        </w:numPr>
        <w:spacing w:after="0" w:line="360" w:lineRule="auto"/>
        <w:jc w:val="both"/>
        <w:rPr>
          <w:rFonts w:ascii="Arial" w:hAnsi="Arial" w:cs="Arial"/>
          <w:sz w:val="22"/>
          <w:szCs w:val="22"/>
        </w:rPr>
      </w:pPr>
      <w:r w:rsidRPr="00F66F4A">
        <w:rPr>
          <w:rFonts w:ascii="Arial" w:hAnsi="Arial" w:cs="Arial"/>
          <w:sz w:val="22"/>
          <w:szCs w:val="22"/>
        </w:rPr>
        <w:t>professional development; and</w:t>
      </w:r>
    </w:p>
    <w:p w14:paraId="7A8E570E" w14:textId="77777777" w:rsidR="00715A38" w:rsidRPr="00F66F4A" w:rsidRDefault="00715A38">
      <w:pPr>
        <w:numPr>
          <w:ilvl w:val="0"/>
          <w:numId w:val="7"/>
        </w:numPr>
        <w:spacing w:line="360" w:lineRule="auto"/>
        <w:jc w:val="both"/>
        <w:rPr>
          <w:rFonts w:ascii="Arial" w:hAnsi="Arial" w:cs="Arial"/>
          <w:sz w:val="22"/>
          <w:szCs w:val="22"/>
        </w:rPr>
      </w:pPr>
      <w:r w:rsidRPr="00F66F4A">
        <w:rPr>
          <w:rFonts w:ascii="Arial" w:hAnsi="Arial" w:cs="Arial"/>
          <w:sz w:val="22"/>
          <w:szCs w:val="22"/>
        </w:rPr>
        <w:t>transition-to-internship preparation.</w:t>
      </w:r>
    </w:p>
    <w:p w14:paraId="41AEBF61" w14:textId="7DCA94FF" w:rsidR="00715A38" w:rsidRPr="00F66F4A" w:rsidRDefault="00715A38">
      <w:pPr>
        <w:pStyle w:val="ListParagraph"/>
        <w:numPr>
          <w:ilvl w:val="1"/>
          <w:numId w:val="1"/>
        </w:numPr>
        <w:spacing w:line="360" w:lineRule="auto"/>
        <w:jc w:val="both"/>
        <w:rPr>
          <w:rFonts w:ascii="Arial" w:hAnsi="Arial" w:cs="Arial"/>
          <w:b/>
          <w:bCs/>
          <w:sz w:val="22"/>
          <w:szCs w:val="22"/>
        </w:rPr>
      </w:pPr>
      <w:r w:rsidRPr="00F66F4A">
        <w:rPr>
          <w:rFonts w:ascii="Arial" w:hAnsi="Arial" w:cs="Arial"/>
          <w:b/>
          <w:bCs/>
          <w:sz w:val="22"/>
          <w:szCs w:val="22"/>
        </w:rPr>
        <w:t>The distinctive UCT graduate</w:t>
      </w:r>
    </w:p>
    <w:p w14:paraId="67F0B97D" w14:textId="77777777" w:rsidR="00715A38" w:rsidRPr="00F66F4A" w:rsidRDefault="00715A38" w:rsidP="00F66F4A">
      <w:pPr>
        <w:spacing w:line="360" w:lineRule="auto"/>
        <w:jc w:val="both"/>
        <w:rPr>
          <w:rFonts w:ascii="Arial" w:hAnsi="Arial" w:cs="Arial"/>
          <w:sz w:val="22"/>
          <w:szCs w:val="22"/>
        </w:rPr>
      </w:pPr>
      <w:r w:rsidRPr="00F66F4A">
        <w:rPr>
          <w:rFonts w:ascii="Arial" w:hAnsi="Arial" w:cs="Arial"/>
          <w:sz w:val="22"/>
          <w:szCs w:val="22"/>
        </w:rPr>
        <w:t>The Board will assist the Programme in examining the qualities associated with graduating from UCT, including critical inquiry, adaptability, intellectual independence, social responsiveness and the ability to practise across diverse and unequal health-system contexts.</w:t>
      </w:r>
    </w:p>
    <w:p w14:paraId="1908D4AB" w14:textId="77777777" w:rsidR="00715A38" w:rsidRPr="00F66F4A" w:rsidRDefault="00715A38" w:rsidP="00F66F4A">
      <w:pPr>
        <w:spacing w:line="360" w:lineRule="auto"/>
        <w:jc w:val="both"/>
        <w:rPr>
          <w:rFonts w:ascii="Arial" w:hAnsi="Arial" w:cs="Arial"/>
          <w:sz w:val="22"/>
          <w:szCs w:val="22"/>
        </w:rPr>
      </w:pPr>
      <w:r w:rsidRPr="00F66F4A">
        <w:rPr>
          <w:rFonts w:ascii="Arial" w:hAnsi="Arial" w:cs="Arial"/>
          <w:sz w:val="22"/>
          <w:szCs w:val="22"/>
        </w:rPr>
        <w:t>Its role is not to presume that these qualities are uniformly achieved, but to determine how the programme can cultivate them more consistently and intentionally.</w:t>
      </w:r>
    </w:p>
    <w:p w14:paraId="4179B383" w14:textId="392EFCB3" w:rsidR="0099006D" w:rsidRPr="00F66F4A" w:rsidRDefault="008102BA">
      <w:pPr>
        <w:pStyle w:val="ListParagraph"/>
        <w:numPr>
          <w:ilvl w:val="0"/>
          <w:numId w:val="1"/>
        </w:numPr>
        <w:spacing w:line="360" w:lineRule="auto"/>
        <w:jc w:val="both"/>
        <w:rPr>
          <w:rFonts w:ascii="Arial" w:hAnsi="Arial" w:cs="Arial"/>
          <w:b/>
          <w:bCs/>
          <w:sz w:val="22"/>
          <w:szCs w:val="22"/>
        </w:rPr>
      </w:pPr>
      <w:r w:rsidRPr="00F66F4A">
        <w:rPr>
          <w:rFonts w:ascii="Arial" w:hAnsi="Arial" w:cs="Arial"/>
          <w:b/>
          <w:bCs/>
          <w:sz w:val="22"/>
          <w:szCs w:val="22"/>
        </w:rPr>
        <w:t>RESPONSIBILITIES OF BOARD MEMBERS</w:t>
      </w:r>
    </w:p>
    <w:p w14:paraId="59F806F1" w14:textId="77777777" w:rsidR="00865AB2" w:rsidRPr="00F66F4A" w:rsidRDefault="00865AB2" w:rsidP="00F66F4A">
      <w:pPr>
        <w:spacing w:after="0" w:line="360" w:lineRule="auto"/>
        <w:jc w:val="both"/>
        <w:rPr>
          <w:rFonts w:ascii="Arial" w:hAnsi="Arial" w:cs="Arial"/>
          <w:sz w:val="22"/>
          <w:szCs w:val="22"/>
        </w:rPr>
      </w:pPr>
      <w:r w:rsidRPr="00F66F4A">
        <w:rPr>
          <w:rFonts w:ascii="Arial" w:hAnsi="Arial" w:cs="Arial"/>
          <w:sz w:val="22"/>
          <w:szCs w:val="22"/>
        </w:rPr>
        <w:t>Members are expected to:</w:t>
      </w:r>
    </w:p>
    <w:p w14:paraId="1B2F33A1" w14:textId="10E3EF4D" w:rsidR="00865AB2" w:rsidRPr="00F66F4A" w:rsidRDefault="00865AB2">
      <w:pPr>
        <w:pStyle w:val="ListParagraph"/>
        <w:numPr>
          <w:ilvl w:val="0"/>
          <w:numId w:val="8"/>
        </w:numPr>
        <w:spacing w:after="0" w:line="360" w:lineRule="auto"/>
        <w:jc w:val="both"/>
        <w:rPr>
          <w:rFonts w:ascii="Arial" w:hAnsi="Arial" w:cs="Arial"/>
          <w:sz w:val="22"/>
          <w:szCs w:val="22"/>
        </w:rPr>
      </w:pPr>
      <w:r w:rsidRPr="00F66F4A">
        <w:rPr>
          <w:rFonts w:ascii="Arial" w:hAnsi="Arial" w:cs="Arial"/>
          <w:sz w:val="22"/>
          <w:szCs w:val="22"/>
        </w:rPr>
        <w:t>Attend four scheduled Board meetings per year, ordinarily conducted.</w:t>
      </w:r>
    </w:p>
    <w:p w14:paraId="7CDC666D" w14:textId="77777777" w:rsidR="00865AB2" w:rsidRPr="00F66F4A" w:rsidRDefault="00865AB2">
      <w:pPr>
        <w:numPr>
          <w:ilvl w:val="0"/>
          <w:numId w:val="8"/>
        </w:numPr>
        <w:tabs>
          <w:tab w:val="num" w:pos="720"/>
        </w:tabs>
        <w:spacing w:after="0" w:line="360" w:lineRule="auto"/>
        <w:jc w:val="both"/>
        <w:rPr>
          <w:rFonts w:ascii="Arial" w:hAnsi="Arial" w:cs="Arial"/>
          <w:sz w:val="22"/>
          <w:szCs w:val="22"/>
        </w:rPr>
      </w:pPr>
      <w:r w:rsidRPr="00F66F4A">
        <w:rPr>
          <w:rFonts w:ascii="Arial" w:hAnsi="Arial" w:cs="Arial"/>
          <w:sz w:val="22"/>
          <w:szCs w:val="22"/>
        </w:rPr>
        <w:t>Provide candid, constructive and context-sensitive advice based on their experience as recent graduates.</w:t>
      </w:r>
    </w:p>
    <w:p w14:paraId="2E52539E" w14:textId="77777777" w:rsidR="00865AB2" w:rsidRPr="00F66F4A" w:rsidRDefault="00865AB2">
      <w:pPr>
        <w:numPr>
          <w:ilvl w:val="0"/>
          <w:numId w:val="8"/>
        </w:numPr>
        <w:tabs>
          <w:tab w:val="num" w:pos="720"/>
        </w:tabs>
        <w:spacing w:after="0" w:line="360" w:lineRule="auto"/>
        <w:jc w:val="both"/>
        <w:rPr>
          <w:rFonts w:ascii="Arial" w:hAnsi="Arial" w:cs="Arial"/>
          <w:sz w:val="22"/>
          <w:szCs w:val="22"/>
        </w:rPr>
      </w:pPr>
      <w:r w:rsidRPr="00F66F4A">
        <w:rPr>
          <w:rFonts w:ascii="Arial" w:hAnsi="Arial" w:cs="Arial"/>
          <w:sz w:val="22"/>
          <w:szCs w:val="22"/>
        </w:rPr>
        <w:t>Distinguish between personal experience, recurring patterns and matters requiring further evidence.</w:t>
      </w:r>
    </w:p>
    <w:p w14:paraId="275E9D28" w14:textId="77777777" w:rsidR="00865AB2" w:rsidRPr="00F66F4A" w:rsidRDefault="00865AB2">
      <w:pPr>
        <w:numPr>
          <w:ilvl w:val="0"/>
          <w:numId w:val="8"/>
        </w:numPr>
        <w:tabs>
          <w:tab w:val="num" w:pos="720"/>
        </w:tabs>
        <w:spacing w:after="0" w:line="360" w:lineRule="auto"/>
        <w:jc w:val="both"/>
        <w:rPr>
          <w:rFonts w:ascii="Arial" w:hAnsi="Arial" w:cs="Arial"/>
          <w:sz w:val="22"/>
          <w:szCs w:val="22"/>
        </w:rPr>
      </w:pPr>
      <w:r w:rsidRPr="00F66F4A">
        <w:rPr>
          <w:rFonts w:ascii="Arial" w:hAnsi="Arial" w:cs="Arial"/>
          <w:sz w:val="22"/>
          <w:szCs w:val="22"/>
        </w:rPr>
        <w:t>Identify areas in which undergraduate training supported safe and effective practice, as well as areas requiring strengthening.</w:t>
      </w:r>
    </w:p>
    <w:p w14:paraId="73BFC951" w14:textId="77777777" w:rsidR="00865AB2" w:rsidRPr="00F66F4A" w:rsidRDefault="00865AB2">
      <w:pPr>
        <w:numPr>
          <w:ilvl w:val="0"/>
          <w:numId w:val="8"/>
        </w:numPr>
        <w:tabs>
          <w:tab w:val="num" w:pos="720"/>
        </w:tabs>
        <w:spacing w:after="0" w:line="360" w:lineRule="auto"/>
        <w:jc w:val="both"/>
        <w:rPr>
          <w:rFonts w:ascii="Arial" w:hAnsi="Arial" w:cs="Arial"/>
          <w:sz w:val="22"/>
          <w:szCs w:val="22"/>
        </w:rPr>
      </w:pPr>
      <w:r w:rsidRPr="00F66F4A">
        <w:rPr>
          <w:rFonts w:ascii="Arial" w:hAnsi="Arial" w:cs="Arial"/>
          <w:sz w:val="22"/>
          <w:szCs w:val="22"/>
        </w:rPr>
        <w:t>Review limited, clearly defined documents or proposals where graduate input is specifically required.</w:t>
      </w:r>
    </w:p>
    <w:p w14:paraId="1F9B14B3" w14:textId="77777777" w:rsidR="00865AB2" w:rsidRPr="00F66F4A" w:rsidRDefault="00865AB2">
      <w:pPr>
        <w:numPr>
          <w:ilvl w:val="0"/>
          <w:numId w:val="8"/>
        </w:numPr>
        <w:tabs>
          <w:tab w:val="num" w:pos="720"/>
        </w:tabs>
        <w:spacing w:after="0" w:line="360" w:lineRule="auto"/>
        <w:jc w:val="both"/>
        <w:rPr>
          <w:rFonts w:ascii="Arial" w:hAnsi="Arial" w:cs="Arial"/>
          <w:sz w:val="22"/>
          <w:szCs w:val="22"/>
        </w:rPr>
      </w:pPr>
      <w:r w:rsidRPr="00F66F4A">
        <w:rPr>
          <w:rFonts w:ascii="Arial" w:hAnsi="Arial" w:cs="Arial"/>
          <w:sz w:val="22"/>
          <w:szCs w:val="22"/>
        </w:rPr>
        <w:t>Contribute to an annual summary of priority findings and recommendations.</w:t>
      </w:r>
    </w:p>
    <w:p w14:paraId="52F222C7" w14:textId="0F9EE00B" w:rsidR="00CE43B7" w:rsidRPr="00F66F4A" w:rsidRDefault="00865AB2">
      <w:pPr>
        <w:numPr>
          <w:ilvl w:val="0"/>
          <w:numId w:val="8"/>
        </w:numPr>
        <w:spacing w:after="0" w:line="360" w:lineRule="auto"/>
        <w:jc w:val="both"/>
        <w:rPr>
          <w:rFonts w:ascii="Arial" w:hAnsi="Arial" w:cs="Arial"/>
          <w:sz w:val="22"/>
          <w:szCs w:val="22"/>
        </w:rPr>
      </w:pPr>
      <w:r w:rsidRPr="00F66F4A">
        <w:rPr>
          <w:rFonts w:ascii="Arial" w:hAnsi="Arial" w:cs="Arial"/>
          <w:sz w:val="22"/>
          <w:szCs w:val="22"/>
        </w:rPr>
        <w:t>Maintain appropriate confidentiality regarding students, patients, colleagues, institutions and internal programme matters.</w:t>
      </w:r>
    </w:p>
    <w:p w14:paraId="14F5EA8C" w14:textId="77777777" w:rsidR="00CE43B7" w:rsidRPr="00F66F4A" w:rsidRDefault="00865AB2">
      <w:pPr>
        <w:numPr>
          <w:ilvl w:val="0"/>
          <w:numId w:val="8"/>
        </w:numPr>
        <w:spacing w:after="0" w:line="360" w:lineRule="auto"/>
        <w:jc w:val="both"/>
        <w:rPr>
          <w:rFonts w:ascii="Arial" w:hAnsi="Arial" w:cs="Arial"/>
          <w:sz w:val="22"/>
          <w:szCs w:val="22"/>
        </w:rPr>
      </w:pPr>
      <w:r w:rsidRPr="00F66F4A">
        <w:rPr>
          <w:rFonts w:ascii="Arial" w:hAnsi="Arial" w:cs="Arial"/>
          <w:sz w:val="22"/>
          <w:szCs w:val="22"/>
        </w:rPr>
        <w:t>Declare relevant conflicts of interest.</w:t>
      </w:r>
    </w:p>
    <w:p w14:paraId="49BAC333" w14:textId="284D102C" w:rsidR="007577B9" w:rsidRPr="00F66F4A" w:rsidRDefault="00865AB2">
      <w:pPr>
        <w:numPr>
          <w:ilvl w:val="0"/>
          <w:numId w:val="8"/>
        </w:numPr>
        <w:spacing w:after="0" w:line="360" w:lineRule="auto"/>
        <w:jc w:val="both"/>
        <w:rPr>
          <w:rFonts w:ascii="Arial" w:hAnsi="Arial" w:cs="Arial"/>
          <w:sz w:val="22"/>
          <w:szCs w:val="22"/>
        </w:rPr>
      </w:pPr>
      <w:r w:rsidRPr="00F66F4A">
        <w:rPr>
          <w:rFonts w:ascii="Arial" w:hAnsi="Arial" w:cs="Arial"/>
          <w:sz w:val="22"/>
          <w:szCs w:val="22"/>
        </w:rPr>
        <w:t>Engage in accordance with the SCL’s culture of partnership, including honesty, mutual respect, care, reciprocity and openness to principled disagreement.</w:t>
      </w:r>
    </w:p>
    <w:p w14:paraId="49F2D440" w14:textId="77777777" w:rsidR="007577B9" w:rsidRPr="00F66F4A" w:rsidRDefault="007577B9" w:rsidP="00F66F4A">
      <w:pPr>
        <w:spacing w:after="0" w:line="360" w:lineRule="auto"/>
        <w:jc w:val="both"/>
        <w:rPr>
          <w:rFonts w:ascii="Arial" w:hAnsi="Arial" w:cs="Arial"/>
          <w:b/>
          <w:bCs/>
          <w:sz w:val="22"/>
          <w:szCs w:val="22"/>
        </w:rPr>
      </w:pPr>
    </w:p>
    <w:p w14:paraId="4B040FB0" w14:textId="3D5B2C20" w:rsidR="007577B9" w:rsidRPr="00F66F4A" w:rsidRDefault="007577B9">
      <w:pPr>
        <w:pStyle w:val="ListParagraph"/>
        <w:numPr>
          <w:ilvl w:val="0"/>
          <w:numId w:val="1"/>
        </w:numPr>
        <w:spacing w:after="0" w:line="360" w:lineRule="auto"/>
        <w:jc w:val="both"/>
        <w:rPr>
          <w:rFonts w:ascii="Arial" w:hAnsi="Arial" w:cs="Arial"/>
          <w:b/>
          <w:bCs/>
          <w:sz w:val="22"/>
          <w:szCs w:val="22"/>
        </w:rPr>
      </w:pPr>
      <w:r w:rsidRPr="00F66F4A">
        <w:rPr>
          <w:rFonts w:ascii="Arial" w:hAnsi="Arial" w:cs="Arial"/>
          <w:b/>
          <w:bCs/>
          <w:sz w:val="22"/>
          <w:szCs w:val="22"/>
        </w:rPr>
        <w:t>MEMBERSHIP AND APPOINTMENT</w:t>
      </w:r>
    </w:p>
    <w:p w14:paraId="40E8D77B" w14:textId="77777777" w:rsidR="00D2467B" w:rsidRPr="00F66F4A" w:rsidRDefault="00D2467B" w:rsidP="00F66F4A">
      <w:pPr>
        <w:pStyle w:val="ListParagraph"/>
        <w:spacing w:after="0" w:line="360" w:lineRule="auto"/>
        <w:ind w:left="360"/>
        <w:jc w:val="both"/>
        <w:rPr>
          <w:rFonts w:ascii="Arial" w:hAnsi="Arial" w:cs="Arial"/>
          <w:b/>
          <w:bCs/>
          <w:sz w:val="22"/>
          <w:szCs w:val="22"/>
        </w:rPr>
      </w:pPr>
    </w:p>
    <w:p w14:paraId="53C76A82" w14:textId="03477011" w:rsidR="00D2467B" w:rsidRPr="00F66F4A" w:rsidRDefault="00D2467B">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Composition</w:t>
      </w:r>
    </w:p>
    <w:p w14:paraId="244DE36E" w14:textId="77777777"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The Board will ordinarily comprise between six and ten recent UCT MBChB graduates.</w:t>
      </w:r>
    </w:p>
    <w:p w14:paraId="5B1AC382" w14:textId="77777777"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lastRenderedPageBreak/>
        <w:t>The 2026 Board consists of eight appointed members, primarily serving as medical interns. Where appropriate, future Boards may also include community-service doctors or graduates within the first two years following community service.</w:t>
      </w:r>
    </w:p>
    <w:p w14:paraId="41308AB4" w14:textId="77777777" w:rsidR="00D2467B" w:rsidRPr="00F66F4A" w:rsidRDefault="00D2467B" w:rsidP="00F66F4A">
      <w:pPr>
        <w:spacing w:after="0" w:line="360" w:lineRule="auto"/>
        <w:jc w:val="both"/>
        <w:rPr>
          <w:rFonts w:ascii="Arial" w:hAnsi="Arial" w:cs="Arial"/>
          <w:sz w:val="22"/>
          <w:szCs w:val="22"/>
        </w:rPr>
      </w:pPr>
    </w:p>
    <w:p w14:paraId="2CCB362F" w14:textId="452934F1" w:rsidR="00D2467B" w:rsidRPr="00F66F4A" w:rsidRDefault="00D2467B">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Selection considerations</w:t>
      </w:r>
    </w:p>
    <w:p w14:paraId="0AEA6864" w14:textId="77777777"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Appointments should collectively provide reasonable diversity in:</w:t>
      </w:r>
    </w:p>
    <w:p w14:paraId="5DB38A76"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internship or community-service placement;</w:t>
      </w:r>
    </w:p>
    <w:p w14:paraId="4BD3AB4E"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province and type of health facility;</w:t>
      </w:r>
    </w:p>
    <w:p w14:paraId="125FB265"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clinical exposure;</w:t>
      </w:r>
    </w:p>
    <w:p w14:paraId="7C4B851C"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background and lived experience;</w:t>
      </w:r>
    </w:p>
    <w:p w14:paraId="783E7AC1"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participation in student, curriculum or institutional activities; and</w:t>
      </w:r>
    </w:p>
    <w:p w14:paraId="0FF83A6C" w14:textId="77777777" w:rsidR="00D2467B" w:rsidRPr="00F66F4A" w:rsidRDefault="00D2467B">
      <w:pPr>
        <w:numPr>
          <w:ilvl w:val="0"/>
          <w:numId w:val="9"/>
        </w:numPr>
        <w:spacing w:after="0" w:line="360" w:lineRule="auto"/>
        <w:jc w:val="both"/>
        <w:rPr>
          <w:rFonts w:ascii="Arial" w:hAnsi="Arial" w:cs="Arial"/>
          <w:sz w:val="22"/>
          <w:szCs w:val="22"/>
        </w:rPr>
      </w:pPr>
      <w:r w:rsidRPr="00F66F4A">
        <w:rPr>
          <w:rFonts w:ascii="Arial" w:hAnsi="Arial" w:cs="Arial"/>
          <w:sz w:val="22"/>
          <w:szCs w:val="22"/>
        </w:rPr>
        <w:t>perspectives on the UCT MBChB programme.</w:t>
      </w:r>
    </w:p>
    <w:p w14:paraId="31ABEC8F" w14:textId="77777777" w:rsidR="00D2467B" w:rsidRPr="00F66F4A" w:rsidRDefault="00D2467B" w:rsidP="00F66F4A">
      <w:pPr>
        <w:spacing w:after="0" w:line="360" w:lineRule="auto"/>
        <w:jc w:val="both"/>
        <w:rPr>
          <w:rFonts w:ascii="Arial" w:hAnsi="Arial" w:cs="Arial"/>
          <w:sz w:val="22"/>
          <w:szCs w:val="22"/>
        </w:rPr>
      </w:pPr>
    </w:p>
    <w:p w14:paraId="40E601E6" w14:textId="77777777"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Members are appointed for their capacity to reflect constructively on the programme, rather than to serve as representatives of a particular hospital, department or graduating class.</w:t>
      </w:r>
    </w:p>
    <w:p w14:paraId="0E6CAD8A" w14:textId="77777777" w:rsidR="00D2467B" w:rsidRPr="00F66F4A" w:rsidRDefault="00D2467B" w:rsidP="00F66F4A">
      <w:pPr>
        <w:spacing w:after="0" w:line="360" w:lineRule="auto"/>
        <w:jc w:val="both"/>
        <w:rPr>
          <w:rFonts w:ascii="Arial" w:hAnsi="Arial" w:cs="Arial"/>
          <w:b/>
          <w:bCs/>
          <w:sz w:val="22"/>
          <w:szCs w:val="22"/>
        </w:rPr>
      </w:pPr>
    </w:p>
    <w:p w14:paraId="52E3A507" w14:textId="07C8DA0D" w:rsidR="00D2467B" w:rsidRPr="00F66F4A" w:rsidRDefault="00D2467B">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Term of Appointment</w:t>
      </w:r>
    </w:p>
    <w:p w14:paraId="023EDA88" w14:textId="78BC75E3"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Members serve for two calendar years and may be reappointed for one further term.</w:t>
      </w:r>
    </w:p>
    <w:p w14:paraId="6F2A049D" w14:textId="77777777"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 xml:space="preserve">Appointment is confirmed in writing by, or on behalf of, the Head of the MBChB Programme. </w:t>
      </w:r>
    </w:p>
    <w:p w14:paraId="2CC63FF1" w14:textId="77777777" w:rsidR="00D2467B" w:rsidRPr="00F66F4A" w:rsidRDefault="00D2467B" w:rsidP="00F66F4A">
      <w:pPr>
        <w:spacing w:after="0" w:line="360" w:lineRule="auto"/>
        <w:jc w:val="both"/>
        <w:rPr>
          <w:rFonts w:ascii="Arial" w:hAnsi="Arial" w:cs="Arial"/>
          <w:sz w:val="22"/>
          <w:szCs w:val="22"/>
        </w:rPr>
      </w:pPr>
    </w:p>
    <w:p w14:paraId="31DA623B" w14:textId="39FFFE29" w:rsidR="00D2467B" w:rsidRPr="00F66F4A" w:rsidRDefault="00D2467B" w:rsidP="00F66F4A">
      <w:pPr>
        <w:spacing w:after="0" w:line="360" w:lineRule="auto"/>
        <w:jc w:val="both"/>
        <w:rPr>
          <w:rFonts w:ascii="Arial" w:hAnsi="Arial" w:cs="Arial"/>
          <w:sz w:val="22"/>
          <w:szCs w:val="22"/>
        </w:rPr>
      </w:pPr>
      <w:r w:rsidRPr="00F66F4A">
        <w:rPr>
          <w:rFonts w:ascii="Arial" w:hAnsi="Arial" w:cs="Arial"/>
          <w:sz w:val="22"/>
          <w:szCs w:val="22"/>
        </w:rPr>
        <w:t>A member may resign by written notice. Where a vacancy materially affects the work of the Board, the Programme Office may appoint a replacement for the remainder of the term.</w:t>
      </w:r>
    </w:p>
    <w:p w14:paraId="009B5C62" w14:textId="77777777" w:rsidR="007577B9" w:rsidRPr="00F66F4A" w:rsidRDefault="007577B9" w:rsidP="00F66F4A">
      <w:pPr>
        <w:spacing w:after="0" w:line="360" w:lineRule="auto"/>
        <w:jc w:val="both"/>
        <w:rPr>
          <w:rFonts w:ascii="Arial" w:hAnsi="Arial" w:cs="Arial"/>
          <w:b/>
          <w:bCs/>
          <w:sz w:val="22"/>
          <w:szCs w:val="22"/>
        </w:rPr>
      </w:pPr>
    </w:p>
    <w:p w14:paraId="61243891" w14:textId="343CD600" w:rsidR="00D2467B" w:rsidRPr="00F66F4A" w:rsidRDefault="00D2467B">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CH</w:t>
      </w:r>
      <w:r w:rsidR="00304548" w:rsidRPr="00F66F4A">
        <w:rPr>
          <w:rFonts w:ascii="Arial" w:hAnsi="Arial" w:cs="Arial"/>
          <w:b/>
          <w:bCs/>
          <w:sz w:val="22"/>
          <w:szCs w:val="22"/>
        </w:rPr>
        <w:t>AIR OF THE BOARD</w:t>
      </w:r>
    </w:p>
    <w:p w14:paraId="1BDBF3D6" w14:textId="2A0BACB0" w:rsidR="00304548" w:rsidRPr="00F66F4A" w:rsidRDefault="00304548" w:rsidP="00F66F4A">
      <w:pPr>
        <w:spacing w:after="0" w:line="360" w:lineRule="auto"/>
        <w:jc w:val="both"/>
        <w:rPr>
          <w:rFonts w:ascii="Arial" w:hAnsi="Arial" w:cs="Arial"/>
          <w:sz w:val="22"/>
          <w:szCs w:val="22"/>
        </w:rPr>
      </w:pPr>
      <w:r w:rsidRPr="00F66F4A">
        <w:rPr>
          <w:rFonts w:ascii="Arial" w:hAnsi="Arial" w:cs="Arial"/>
          <w:sz w:val="22"/>
          <w:szCs w:val="22"/>
        </w:rPr>
        <w:t>Chair will be appointed from among the members for a one-year term.</w:t>
      </w:r>
      <w:r w:rsidR="0041146E" w:rsidRPr="00F66F4A">
        <w:rPr>
          <w:rFonts w:ascii="Arial" w:hAnsi="Arial" w:cs="Arial"/>
          <w:sz w:val="22"/>
          <w:szCs w:val="22"/>
        </w:rPr>
        <w:t xml:space="preserve"> </w:t>
      </w:r>
      <w:r w:rsidRPr="00F66F4A">
        <w:rPr>
          <w:rFonts w:ascii="Arial" w:hAnsi="Arial" w:cs="Arial"/>
          <w:sz w:val="22"/>
          <w:szCs w:val="22"/>
        </w:rPr>
        <w:t>The Chair is responsible for:</w:t>
      </w:r>
    </w:p>
    <w:p w14:paraId="60261DE6"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serving as the principal graduate liaison with the SCL MBChB Programme Lead and Programme Office;</w:t>
      </w:r>
    </w:p>
    <w:p w14:paraId="3155F37F"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confirming meeting agendas with the Secretariat;</w:t>
      </w:r>
    </w:p>
    <w:p w14:paraId="496B1B0A"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chairing quarterly meetings;</w:t>
      </w:r>
    </w:p>
    <w:p w14:paraId="2CF9288C"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ensuring that discussion remains focused on the Board’s mandate;</w:t>
      </w:r>
    </w:p>
    <w:p w14:paraId="6D955B7F"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supporting balanced participation across members;</w:t>
      </w:r>
    </w:p>
    <w:p w14:paraId="15E412C5"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confirming the accuracy of recommendations and meeting records;</w:t>
      </w:r>
    </w:p>
    <w:p w14:paraId="69B0DE50"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presenting or nominating a member to present the Board’s advice when invited by the MBChB Programme or SCL; and</w:t>
      </w:r>
    </w:p>
    <w:p w14:paraId="414D9F98" w14:textId="77777777" w:rsidR="00304548" w:rsidRPr="00F66F4A" w:rsidRDefault="00304548">
      <w:pPr>
        <w:numPr>
          <w:ilvl w:val="0"/>
          <w:numId w:val="10"/>
        </w:numPr>
        <w:spacing w:after="0" w:line="360" w:lineRule="auto"/>
        <w:jc w:val="both"/>
        <w:rPr>
          <w:rFonts w:ascii="Arial" w:hAnsi="Arial" w:cs="Arial"/>
          <w:sz w:val="22"/>
          <w:szCs w:val="22"/>
        </w:rPr>
      </w:pPr>
      <w:r w:rsidRPr="00F66F4A">
        <w:rPr>
          <w:rFonts w:ascii="Arial" w:hAnsi="Arial" w:cs="Arial"/>
          <w:sz w:val="22"/>
          <w:szCs w:val="22"/>
        </w:rPr>
        <w:t>contributing to the annual report and handover to the incoming Board.</w:t>
      </w:r>
    </w:p>
    <w:p w14:paraId="2E27D99E" w14:textId="77777777" w:rsidR="00304548" w:rsidRPr="00F66F4A" w:rsidRDefault="00304548" w:rsidP="00F66F4A">
      <w:pPr>
        <w:spacing w:after="0" w:line="360" w:lineRule="auto"/>
        <w:ind w:left="720"/>
        <w:jc w:val="both"/>
        <w:rPr>
          <w:rFonts w:ascii="Arial" w:hAnsi="Arial" w:cs="Arial"/>
          <w:sz w:val="22"/>
          <w:szCs w:val="22"/>
        </w:rPr>
      </w:pPr>
    </w:p>
    <w:p w14:paraId="7594AC9E" w14:textId="67F90374" w:rsidR="00304548" w:rsidRPr="00F66F4A" w:rsidRDefault="00304548" w:rsidP="00F66F4A">
      <w:pPr>
        <w:spacing w:after="0" w:line="360" w:lineRule="auto"/>
        <w:jc w:val="both"/>
        <w:rPr>
          <w:rFonts w:ascii="Arial" w:hAnsi="Arial" w:cs="Arial"/>
          <w:sz w:val="22"/>
          <w:szCs w:val="22"/>
        </w:rPr>
      </w:pPr>
      <w:r w:rsidRPr="00F66F4A">
        <w:rPr>
          <w:rFonts w:ascii="Arial" w:hAnsi="Arial" w:cs="Arial"/>
          <w:sz w:val="22"/>
          <w:szCs w:val="22"/>
        </w:rPr>
        <w:t>The Chair does not carry sole responsibility for the Board’s outputs and is not expected to undertake routine administration. Scheduling, document preparation, minutes, communication and action tracking remain the responsibility of the Secretariat. Where the Chair is unavailable, members may nominate an Acting Chair for a particular meeting.</w:t>
      </w:r>
    </w:p>
    <w:p w14:paraId="6DE42F61" w14:textId="77777777" w:rsidR="00304548" w:rsidRPr="00F66F4A" w:rsidRDefault="00304548" w:rsidP="00F66F4A">
      <w:pPr>
        <w:spacing w:after="0" w:line="360" w:lineRule="auto"/>
        <w:jc w:val="both"/>
        <w:rPr>
          <w:rFonts w:ascii="Arial" w:hAnsi="Arial" w:cs="Arial"/>
          <w:b/>
          <w:bCs/>
          <w:sz w:val="22"/>
          <w:szCs w:val="22"/>
        </w:rPr>
      </w:pPr>
    </w:p>
    <w:p w14:paraId="69FE8944" w14:textId="531063AC" w:rsidR="00304548" w:rsidRPr="00F66F4A" w:rsidRDefault="00FA4BED">
      <w:pPr>
        <w:pStyle w:val="ListParagraph"/>
        <w:numPr>
          <w:ilvl w:val="0"/>
          <w:numId w:val="1"/>
        </w:numPr>
        <w:spacing w:after="0" w:line="360" w:lineRule="auto"/>
        <w:jc w:val="both"/>
        <w:rPr>
          <w:rFonts w:ascii="Arial" w:hAnsi="Arial" w:cs="Arial"/>
          <w:b/>
          <w:bCs/>
          <w:sz w:val="22"/>
          <w:szCs w:val="22"/>
        </w:rPr>
      </w:pPr>
      <w:r w:rsidRPr="00F66F4A">
        <w:rPr>
          <w:rFonts w:ascii="Arial" w:hAnsi="Arial" w:cs="Arial"/>
          <w:b/>
          <w:bCs/>
          <w:sz w:val="22"/>
          <w:szCs w:val="22"/>
        </w:rPr>
        <w:t>ANNUAL GENERAL MEETING</w:t>
      </w:r>
      <w:r w:rsidR="00304548" w:rsidRPr="00F66F4A">
        <w:rPr>
          <w:rFonts w:ascii="Arial" w:hAnsi="Arial" w:cs="Arial"/>
          <w:b/>
          <w:bCs/>
          <w:sz w:val="22"/>
          <w:szCs w:val="22"/>
        </w:rPr>
        <w:t xml:space="preserve"> </w:t>
      </w:r>
    </w:p>
    <w:p w14:paraId="040E7076" w14:textId="0A1DD89E"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An Annual General Meeting will be convened alongside the annual Southern African Association of Health Educationalists (SAAHE) conference, where practicable.</w:t>
      </w:r>
    </w:p>
    <w:p w14:paraId="38FD02E9" w14:textId="77777777"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AGM will provide an opportunity to:</w:t>
      </w:r>
    </w:p>
    <w:p w14:paraId="5D656648" w14:textId="77777777" w:rsidR="0041146E" w:rsidRPr="00F66F4A" w:rsidRDefault="0041146E">
      <w:pPr>
        <w:numPr>
          <w:ilvl w:val="0"/>
          <w:numId w:val="11"/>
        </w:numPr>
        <w:spacing w:after="0" w:line="360" w:lineRule="auto"/>
        <w:jc w:val="both"/>
        <w:rPr>
          <w:rFonts w:ascii="Arial" w:hAnsi="Arial" w:cs="Arial"/>
          <w:sz w:val="22"/>
          <w:szCs w:val="22"/>
        </w:rPr>
      </w:pPr>
      <w:r w:rsidRPr="00F66F4A">
        <w:rPr>
          <w:rFonts w:ascii="Arial" w:hAnsi="Arial" w:cs="Arial"/>
          <w:sz w:val="22"/>
          <w:szCs w:val="22"/>
        </w:rPr>
        <w:t>review the Board’s annual findings;</w:t>
      </w:r>
    </w:p>
    <w:p w14:paraId="1611B67E" w14:textId="77777777" w:rsidR="0041146E" w:rsidRPr="00F66F4A" w:rsidRDefault="0041146E">
      <w:pPr>
        <w:numPr>
          <w:ilvl w:val="0"/>
          <w:numId w:val="11"/>
        </w:numPr>
        <w:spacing w:after="0" w:line="360" w:lineRule="auto"/>
        <w:jc w:val="both"/>
        <w:rPr>
          <w:rFonts w:ascii="Arial" w:hAnsi="Arial" w:cs="Arial"/>
          <w:sz w:val="22"/>
          <w:szCs w:val="22"/>
        </w:rPr>
      </w:pPr>
      <w:r w:rsidRPr="00F66F4A">
        <w:rPr>
          <w:rFonts w:ascii="Arial" w:hAnsi="Arial" w:cs="Arial"/>
          <w:sz w:val="22"/>
          <w:szCs w:val="22"/>
        </w:rPr>
        <w:t>engage with current students, educators and programme leadership;</w:t>
      </w:r>
    </w:p>
    <w:p w14:paraId="4092CD8D" w14:textId="77777777" w:rsidR="0041146E" w:rsidRPr="00F66F4A" w:rsidRDefault="0041146E">
      <w:pPr>
        <w:numPr>
          <w:ilvl w:val="0"/>
          <w:numId w:val="11"/>
        </w:numPr>
        <w:spacing w:after="0" w:line="360" w:lineRule="auto"/>
        <w:jc w:val="both"/>
        <w:rPr>
          <w:rFonts w:ascii="Arial" w:hAnsi="Arial" w:cs="Arial"/>
          <w:sz w:val="22"/>
          <w:szCs w:val="22"/>
        </w:rPr>
      </w:pPr>
      <w:r w:rsidRPr="00F66F4A">
        <w:rPr>
          <w:rFonts w:ascii="Arial" w:hAnsi="Arial" w:cs="Arial"/>
          <w:sz w:val="22"/>
          <w:szCs w:val="22"/>
        </w:rPr>
        <w:t>identify priorities for the following year;</w:t>
      </w:r>
    </w:p>
    <w:p w14:paraId="5AE46287" w14:textId="77777777" w:rsidR="0041146E" w:rsidRPr="00F66F4A" w:rsidRDefault="0041146E">
      <w:pPr>
        <w:numPr>
          <w:ilvl w:val="0"/>
          <w:numId w:val="11"/>
        </w:numPr>
        <w:spacing w:after="0" w:line="360" w:lineRule="auto"/>
        <w:jc w:val="both"/>
        <w:rPr>
          <w:rFonts w:ascii="Arial" w:hAnsi="Arial" w:cs="Arial"/>
          <w:sz w:val="22"/>
          <w:szCs w:val="22"/>
        </w:rPr>
      </w:pPr>
      <w:r w:rsidRPr="00F66F4A">
        <w:rPr>
          <w:rFonts w:ascii="Arial" w:hAnsi="Arial" w:cs="Arial"/>
          <w:sz w:val="22"/>
          <w:szCs w:val="22"/>
        </w:rPr>
        <w:t>support transition between outgoing and incoming members; and</w:t>
      </w:r>
    </w:p>
    <w:p w14:paraId="06A4B9C0" w14:textId="77777777" w:rsidR="0041146E" w:rsidRPr="00F66F4A" w:rsidRDefault="0041146E">
      <w:pPr>
        <w:numPr>
          <w:ilvl w:val="0"/>
          <w:numId w:val="11"/>
        </w:numPr>
        <w:spacing w:after="0" w:line="360" w:lineRule="auto"/>
        <w:jc w:val="both"/>
        <w:rPr>
          <w:rFonts w:ascii="Arial" w:hAnsi="Arial" w:cs="Arial"/>
          <w:sz w:val="22"/>
          <w:szCs w:val="22"/>
        </w:rPr>
      </w:pPr>
      <w:r w:rsidRPr="00F66F4A">
        <w:rPr>
          <w:rFonts w:ascii="Arial" w:hAnsi="Arial" w:cs="Arial"/>
          <w:sz w:val="22"/>
          <w:szCs w:val="22"/>
        </w:rPr>
        <w:t>connect UCT’s work with wider developments in health professions education.</w:t>
      </w:r>
    </w:p>
    <w:p w14:paraId="00B10DDC" w14:textId="77777777" w:rsidR="0041146E" w:rsidRPr="00F66F4A" w:rsidRDefault="0041146E" w:rsidP="00F66F4A">
      <w:pPr>
        <w:spacing w:after="0" w:line="360" w:lineRule="auto"/>
        <w:jc w:val="both"/>
        <w:rPr>
          <w:rFonts w:ascii="Arial" w:hAnsi="Arial" w:cs="Arial"/>
          <w:sz w:val="22"/>
          <w:szCs w:val="22"/>
        </w:rPr>
      </w:pPr>
    </w:p>
    <w:p w14:paraId="7CBEB076" w14:textId="3C502106" w:rsidR="0041146E" w:rsidRDefault="0041146E" w:rsidP="00F66F4A">
      <w:pPr>
        <w:spacing w:after="0" w:line="360" w:lineRule="auto"/>
        <w:jc w:val="both"/>
        <w:rPr>
          <w:rFonts w:ascii="Arial" w:hAnsi="Arial" w:cs="Arial"/>
          <w:sz w:val="22"/>
          <w:szCs w:val="22"/>
        </w:rPr>
      </w:pPr>
      <w:r w:rsidRPr="00F66F4A">
        <w:rPr>
          <w:rFonts w:ascii="Arial" w:hAnsi="Arial" w:cs="Arial"/>
          <w:sz w:val="22"/>
          <w:szCs w:val="22"/>
        </w:rPr>
        <w:t>Attendance in person is encouraged but is not compulsory where clinical duties, location or cost prevent participation. Hybrid participation should be enabled wherever feasible.</w:t>
      </w:r>
    </w:p>
    <w:p w14:paraId="21D4E670" w14:textId="77777777" w:rsidR="00511F94" w:rsidRPr="00F66F4A" w:rsidRDefault="00511F94" w:rsidP="00F66F4A">
      <w:pPr>
        <w:spacing w:after="0" w:line="360" w:lineRule="auto"/>
        <w:jc w:val="both"/>
        <w:rPr>
          <w:rFonts w:ascii="Arial" w:hAnsi="Arial" w:cs="Arial"/>
          <w:sz w:val="22"/>
          <w:szCs w:val="22"/>
        </w:rPr>
      </w:pPr>
    </w:p>
    <w:p w14:paraId="19D62CE2" w14:textId="35651B6E" w:rsidR="00511F94" w:rsidRDefault="0041146E">
      <w:pPr>
        <w:pStyle w:val="ListParagraph"/>
        <w:numPr>
          <w:ilvl w:val="0"/>
          <w:numId w:val="1"/>
        </w:numPr>
        <w:spacing w:after="0" w:line="360" w:lineRule="auto"/>
        <w:jc w:val="both"/>
        <w:rPr>
          <w:rFonts w:ascii="Arial" w:hAnsi="Arial" w:cs="Arial"/>
          <w:b/>
          <w:bCs/>
          <w:sz w:val="22"/>
          <w:szCs w:val="22"/>
        </w:rPr>
      </w:pPr>
      <w:r w:rsidRPr="00F66F4A">
        <w:rPr>
          <w:rFonts w:ascii="Arial" w:hAnsi="Arial" w:cs="Arial"/>
          <w:b/>
          <w:bCs/>
          <w:sz w:val="22"/>
          <w:szCs w:val="22"/>
        </w:rPr>
        <w:t>RELATIONSHIP</w:t>
      </w:r>
      <w:r w:rsidR="00A844D8" w:rsidRPr="00F66F4A">
        <w:rPr>
          <w:rFonts w:ascii="Arial" w:hAnsi="Arial" w:cs="Arial"/>
          <w:b/>
          <w:bCs/>
          <w:sz w:val="22"/>
          <w:szCs w:val="22"/>
        </w:rPr>
        <w:t>S</w:t>
      </w:r>
    </w:p>
    <w:p w14:paraId="01F429FD" w14:textId="77777777" w:rsidR="00511F94" w:rsidRPr="00511F94" w:rsidRDefault="00511F94" w:rsidP="00511F94">
      <w:pPr>
        <w:pStyle w:val="ListParagraph"/>
        <w:spacing w:after="0" w:line="360" w:lineRule="auto"/>
        <w:ind w:left="360"/>
        <w:jc w:val="both"/>
        <w:rPr>
          <w:rFonts w:ascii="Arial" w:hAnsi="Arial" w:cs="Arial"/>
          <w:b/>
          <w:bCs/>
          <w:sz w:val="22"/>
          <w:szCs w:val="22"/>
        </w:rPr>
      </w:pPr>
    </w:p>
    <w:p w14:paraId="3A84A391" w14:textId="52DA3B26" w:rsidR="0041146E" w:rsidRPr="00F66F4A" w:rsidRDefault="0041146E">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 xml:space="preserve"> WITH UCT MBCHB GOVERNANCE</w:t>
      </w:r>
    </w:p>
    <w:p w14:paraId="0D83BF88" w14:textId="77777777"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MBChB Executive Committee brings together the Heads of Departments contributing to the MBChB programme and is chaired by Professor Tasleem Ras.</w:t>
      </w:r>
    </w:p>
    <w:p w14:paraId="132A541C" w14:textId="77777777" w:rsidR="001C49F7" w:rsidRPr="00F66F4A" w:rsidRDefault="001C49F7" w:rsidP="00F66F4A">
      <w:pPr>
        <w:spacing w:after="0" w:line="360" w:lineRule="auto"/>
        <w:jc w:val="both"/>
        <w:rPr>
          <w:rFonts w:ascii="Arial" w:hAnsi="Arial" w:cs="Arial"/>
          <w:sz w:val="22"/>
          <w:szCs w:val="22"/>
        </w:rPr>
      </w:pPr>
    </w:p>
    <w:p w14:paraId="12576D52" w14:textId="7C0CD3E8"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Executive Committee provides senior programme-level oversight across the departments responsible for delivering the MBChB curriculum. The Graduate Advisory Board contributes to this structure by providing a consolidated recent-graduate perspective that would otherwise remain dispersed across internship platforms and informal alumni conversations.</w:t>
      </w:r>
    </w:p>
    <w:p w14:paraId="4708B06B" w14:textId="77777777" w:rsidR="001C49F7" w:rsidRPr="00F66F4A" w:rsidRDefault="001C49F7" w:rsidP="00F66F4A">
      <w:pPr>
        <w:spacing w:after="0" w:line="360" w:lineRule="auto"/>
        <w:jc w:val="both"/>
        <w:rPr>
          <w:rFonts w:ascii="Arial" w:hAnsi="Arial" w:cs="Arial"/>
          <w:sz w:val="22"/>
          <w:szCs w:val="22"/>
        </w:rPr>
      </w:pPr>
    </w:p>
    <w:p w14:paraId="3F099D02" w14:textId="77777777"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Advice from the Board will ordinarily be:</w:t>
      </w:r>
    </w:p>
    <w:p w14:paraId="6ED934BC" w14:textId="77777777" w:rsidR="0041146E" w:rsidRPr="00F66F4A" w:rsidRDefault="0041146E">
      <w:pPr>
        <w:numPr>
          <w:ilvl w:val="0"/>
          <w:numId w:val="12"/>
        </w:numPr>
        <w:spacing w:after="0" w:line="360" w:lineRule="auto"/>
        <w:jc w:val="both"/>
        <w:rPr>
          <w:rFonts w:ascii="Arial" w:hAnsi="Arial" w:cs="Arial"/>
          <w:sz w:val="22"/>
          <w:szCs w:val="22"/>
        </w:rPr>
      </w:pPr>
      <w:r w:rsidRPr="00F66F4A">
        <w:rPr>
          <w:rFonts w:ascii="Arial" w:hAnsi="Arial" w:cs="Arial"/>
          <w:sz w:val="22"/>
          <w:szCs w:val="22"/>
        </w:rPr>
        <w:t>collated and documented by the SCL Secretariat;</w:t>
      </w:r>
    </w:p>
    <w:p w14:paraId="1DC8F66D" w14:textId="77777777" w:rsidR="0041146E" w:rsidRPr="00F66F4A" w:rsidRDefault="0041146E">
      <w:pPr>
        <w:numPr>
          <w:ilvl w:val="0"/>
          <w:numId w:val="12"/>
        </w:numPr>
        <w:spacing w:after="0" w:line="360" w:lineRule="auto"/>
        <w:jc w:val="both"/>
        <w:rPr>
          <w:rFonts w:ascii="Arial" w:hAnsi="Arial" w:cs="Arial"/>
          <w:sz w:val="22"/>
          <w:szCs w:val="22"/>
        </w:rPr>
      </w:pPr>
      <w:r w:rsidRPr="00F66F4A">
        <w:rPr>
          <w:rFonts w:ascii="Arial" w:hAnsi="Arial" w:cs="Arial"/>
          <w:sz w:val="22"/>
          <w:szCs w:val="22"/>
        </w:rPr>
        <w:t>reviewed with the Head of the MBChB Programme;</w:t>
      </w:r>
    </w:p>
    <w:p w14:paraId="41A27D41" w14:textId="77777777" w:rsidR="0041146E" w:rsidRPr="00F66F4A" w:rsidRDefault="0041146E">
      <w:pPr>
        <w:numPr>
          <w:ilvl w:val="0"/>
          <w:numId w:val="12"/>
        </w:numPr>
        <w:spacing w:after="0" w:line="360" w:lineRule="auto"/>
        <w:jc w:val="both"/>
        <w:rPr>
          <w:rFonts w:ascii="Arial" w:hAnsi="Arial" w:cs="Arial"/>
          <w:sz w:val="22"/>
          <w:szCs w:val="22"/>
        </w:rPr>
      </w:pPr>
      <w:r w:rsidRPr="00F66F4A">
        <w:rPr>
          <w:rFonts w:ascii="Arial" w:hAnsi="Arial" w:cs="Arial"/>
          <w:sz w:val="22"/>
          <w:szCs w:val="22"/>
        </w:rPr>
        <w:t>referred to the MBChB Executive Committee or relevant course and departmental structures; and</w:t>
      </w:r>
    </w:p>
    <w:p w14:paraId="11ABEF4C" w14:textId="77777777" w:rsidR="0041146E" w:rsidRPr="00F66F4A" w:rsidRDefault="0041146E">
      <w:pPr>
        <w:numPr>
          <w:ilvl w:val="0"/>
          <w:numId w:val="12"/>
        </w:numPr>
        <w:spacing w:after="0" w:line="360" w:lineRule="auto"/>
        <w:jc w:val="both"/>
        <w:rPr>
          <w:rFonts w:ascii="Arial" w:hAnsi="Arial" w:cs="Arial"/>
          <w:sz w:val="22"/>
          <w:szCs w:val="22"/>
        </w:rPr>
      </w:pPr>
      <w:r w:rsidRPr="00F66F4A">
        <w:rPr>
          <w:rFonts w:ascii="Arial" w:hAnsi="Arial" w:cs="Arial"/>
          <w:sz w:val="22"/>
          <w:szCs w:val="22"/>
        </w:rPr>
        <w:t>tracked, where appropriate, through the SCL’s curriculum engagement processes.</w:t>
      </w:r>
    </w:p>
    <w:p w14:paraId="3F67311B" w14:textId="77777777" w:rsidR="001C49F7" w:rsidRPr="00F66F4A" w:rsidRDefault="001C49F7" w:rsidP="00F66F4A">
      <w:pPr>
        <w:spacing w:after="0" w:line="360" w:lineRule="auto"/>
        <w:ind w:left="720"/>
        <w:jc w:val="both"/>
        <w:rPr>
          <w:rFonts w:ascii="Arial" w:hAnsi="Arial" w:cs="Arial"/>
          <w:sz w:val="22"/>
          <w:szCs w:val="22"/>
        </w:rPr>
      </w:pPr>
    </w:p>
    <w:p w14:paraId="0C07F16E" w14:textId="77777777"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Board may be invited to present directly to the MBChB Executive Committee on defined matters. It does not independently instruct departments or course convenors.</w:t>
      </w:r>
    </w:p>
    <w:p w14:paraId="28AA2807" w14:textId="77777777" w:rsidR="00A844D8" w:rsidRPr="00F66F4A" w:rsidRDefault="00A844D8" w:rsidP="00F66F4A">
      <w:pPr>
        <w:spacing w:after="0" w:line="360" w:lineRule="auto"/>
        <w:jc w:val="both"/>
        <w:rPr>
          <w:rFonts w:ascii="Arial" w:hAnsi="Arial" w:cs="Arial"/>
          <w:sz w:val="22"/>
          <w:szCs w:val="22"/>
        </w:rPr>
      </w:pPr>
    </w:p>
    <w:p w14:paraId="6B3C1F6E" w14:textId="0EFB91E7" w:rsidR="0041146E" w:rsidRPr="00F66F4A" w:rsidRDefault="001C49F7">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WITH THE STUDENT CURRICULUM LEKGOTLA</w:t>
      </w:r>
    </w:p>
    <w:p w14:paraId="094BB6F9" w14:textId="01AD7CBD"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SCL serves as the overarching partnership structure within which the Graduate Advisory Board is located.</w:t>
      </w:r>
      <w:r w:rsidR="001C49F7" w:rsidRPr="00F66F4A">
        <w:rPr>
          <w:rFonts w:ascii="Arial" w:hAnsi="Arial" w:cs="Arial"/>
          <w:sz w:val="22"/>
          <w:szCs w:val="22"/>
        </w:rPr>
        <w:t xml:space="preserve"> </w:t>
      </w:r>
      <w:r w:rsidRPr="00F66F4A">
        <w:rPr>
          <w:rFonts w:ascii="Arial" w:hAnsi="Arial" w:cs="Arial"/>
          <w:sz w:val="22"/>
          <w:szCs w:val="22"/>
        </w:rPr>
        <w:t>The SCL will:</w:t>
      </w:r>
    </w:p>
    <w:p w14:paraId="38B73005"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provide the Board’s secretariat;</w:t>
      </w:r>
    </w:p>
    <w:p w14:paraId="66BA072E"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coordinate communication with the MBChB Programme Office;</w:t>
      </w:r>
    </w:p>
    <w:p w14:paraId="09B267F9"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prepare agendas and supporting materials;</w:t>
      </w:r>
    </w:p>
    <w:p w14:paraId="1C4B8364"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record and synthesise advice;</w:t>
      </w:r>
    </w:p>
    <w:p w14:paraId="17FC5531"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maintain the Board’s institutional archive;</w:t>
      </w:r>
    </w:p>
    <w:p w14:paraId="465D05AD"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facilitate engagement with current students and staff partners; and</w:t>
      </w:r>
    </w:p>
    <w:p w14:paraId="79AFA59F" w14:textId="77777777" w:rsidR="0041146E" w:rsidRPr="00F66F4A" w:rsidRDefault="0041146E">
      <w:pPr>
        <w:numPr>
          <w:ilvl w:val="0"/>
          <w:numId w:val="13"/>
        </w:numPr>
        <w:spacing w:after="0" w:line="360" w:lineRule="auto"/>
        <w:jc w:val="both"/>
        <w:rPr>
          <w:rFonts w:ascii="Arial" w:hAnsi="Arial" w:cs="Arial"/>
          <w:sz w:val="22"/>
          <w:szCs w:val="22"/>
        </w:rPr>
      </w:pPr>
      <w:r w:rsidRPr="00F66F4A">
        <w:rPr>
          <w:rFonts w:ascii="Arial" w:hAnsi="Arial" w:cs="Arial"/>
          <w:sz w:val="22"/>
          <w:szCs w:val="22"/>
        </w:rPr>
        <w:t>communicate the status of recommendations to members where possible.</w:t>
      </w:r>
    </w:p>
    <w:p w14:paraId="60D35B98" w14:textId="77777777" w:rsidR="00D412EB" w:rsidRPr="00F66F4A" w:rsidRDefault="00D412EB" w:rsidP="00F66F4A">
      <w:pPr>
        <w:spacing w:after="0" w:line="360" w:lineRule="auto"/>
        <w:jc w:val="both"/>
        <w:rPr>
          <w:rFonts w:ascii="Arial" w:hAnsi="Arial" w:cs="Arial"/>
          <w:sz w:val="22"/>
          <w:szCs w:val="22"/>
        </w:rPr>
      </w:pPr>
    </w:p>
    <w:p w14:paraId="3F2885BA" w14:textId="3B344F4F"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SCL MBChB Programme Lead will serve as the principal student liaison to the Board.</w:t>
      </w:r>
      <w:r w:rsidR="00D412EB" w:rsidRPr="00F66F4A">
        <w:rPr>
          <w:rFonts w:ascii="Arial" w:hAnsi="Arial" w:cs="Arial"/>
          <w:sz w:val="22"/>
          <w:szCs w:val="22"/>
        </w:rPr>
        <w:t xml:space="preserve"> </w:t>
      </w:r>
      <w:r w:rsidRPr="00F66F4A">
        <w:rPr>
          <w:rFonts w:ascii="Arial" w:hAnsi="Arial" w:cs="Arial"/>
          <w:sz w:val="22"/>
          <w:szCs w:val="22"/>
        </w:rPr>
        <w:t>The Graduate Advisory Board functions strategically and reflectively. The SCL remains responsible for the administrative coordination and student-facing curriculum engagement arising from its advice.</w:t>
      </w:r>
    </w:p>
    <w:p w14:paraId="109EF7C1" w14:textId="276DC484" w:rsidR="0041146E" w:rsidRPr="00F66F4A" w:rsidRDefault="0041146E" w:rsidP="00F66F4A">
      <w:pPr>
        <w:spacing w:after="0" w:line="360" w:lineRule="auto"/>
        <w:jc w:val="both"/>
        <w:rPr>
          <w:rFonts w:ascii="Arial" w:hAnsi="Arial" w:cs="Arial"/>
          <w:sz w:val="22"/>
          <w:szCs w:val="22"/>
        </w:rPr>
      </w:pPr>
    </w:p>
    <w:p w14:paraId="3D937005" w14:textId="6418FDDD" w:rsidR="0041146E" w:rsidRPr="00F66F4A" w:rsidRDefault="00A844D8">
      <w:pPr>
        <w:pStyle w:val="ListParagraph"/>
        <w:numPr>
          <w:ilvl w:val="1"/>
          <w:numId w:val="1"/>
        </w:numPr>
        <w:spacing w:after="0" w:line="360" w:lineRule="auto"/>
        <w:jc w:val="both"/>
        <w:rPr>
          <w:rFonts w:ascii="Arial" w:hAnsi="Arial" w:cs="Arial"/>
          <w:b/>
          <w:bCs/>
          <w:sz w:val="22"/>
          <w:szCs w:val="22"/>
        </w:rPr>
      </w:pPr>
      <w:r w:rsidRPr="00F66F4A">
        <w:rPr>
          <w:rFonts w:ascii="Arial" w:hAnsi="Arial" w:cs="Arial"/>
          <w:b/>
          <w:bCs/>
          <w:sz w:val="22"/>
          <w:szCs w:val="22"/>
        </w:rPr>
        <w:t>WITH THE STEVE BIKO STUDENT NETWORK FOR MEDICAL EDUCATION</w:t>
      </w:r>
    </w:p>
    <w:p w14:paraId="21FB67DC" w14:textId="4240D3CB" w:rsidR="00A844D8" w:rsidRDefault="0041146E" w:rsidP="00511F94">
      <w:pPr>
        <w:spacing w:line="360" w:lineRule="auto"/>
        <w:jc w:val="both"/>
        <w:rPr>
          <w:rFonts w:ascii="Arial" w:hAnsi="Arial" w:cs="Arial"/>
          <w:sz w:val="22"/>
          <w:szCs w:val="22"/>
        </w:rPr>
      </w:pPr>
      <w:r w:rsidRPr="00F66F4A">
        <w:rPr>
          <w:rFonts w:ascii="Arial" w:hAnsi="Arial" w:cs="Arial"/>
          <w:sz w:val="22"/>
          <w:szCs w:val="22"/>
        </w:rPr>
        <w:t>The Steve Biko Student Network for Medical Education is the national student network located within the broader SCL structure. It connects medical students across South Africa’s medical schools around curriculum inquiry, student participation and socially accountable reform.</w:t>
      </w:r>
    </w:p>
    <w:p w14:paraId="34BB752A" w14:textId="1B5FB976" w:rsidR="0041146E" w:rsidRPr="00F66F4A" w:rsidRDefault="0041146E" w:rsidP="00511F94">
      <w:pPr>
        <w:spacing w:line="360" w:lineRule="auto"/>
        <w:jc w:val="both"/>
        <w:rPr>
          <w:rFonts w:ascii="Arial" w:hAnsi="Arial" w:cs="Arial"/>
          <w:sz w:val="22"/>
          <w:szCs w:val="22"/>
        </w:rPr>
      </w:pPr>
      <w:r w:rsidRPr="00F66F4A">
        <w:rPr>
          <w:rFonts w:ascii="Arial" w:hAnsi="Arial" w:cs="Arial"/>
          <w:sz w:val="22"/>
          <w:szCs w:val="22"/>
        </w:rPr>
        <w:t xml:space="preserve">The Network is developed in relationship with the </w:t>
      </w:r>
      <w:r w:rsidRPr="00511F94">
        <w:rPr>
          <w:rFonts w:ascii="Arial" w:hAnsi="Arial" w:cs="Arial"/>
          <w:b/>
          <w:bCs/>
          <w:i/>
          <w:iCs/>
          <w:sz w:val="22"/>
          <w:szCs w:val="22"/>
        </w:rPr>
        <w:t>South African Committee of Medical Deans</w:t>
      </w:r>
      <w:r w:rsidR="00F3666D">
        <w:rPr>
          <w:rFonts w:ascii="Arial" w:hAnsi="Arial" w:cs="Arial"/>
          <w:b/>
          <w:bCs/>
          <w:i/>
          <w:iCs/>
          <w:sz w:val="22"/>
          <w:szCs w:val="22"/>
        </w:rPr>
        <w:t xml:space="preserve"> (</w:t>
      </w:r>
      <w:proofErr w:type="spellStart"/>
      <w:r w:rsidR="00F3666D">
        <w:rPr>
          <w:rFonts w:ascii="Arial" w:hAnsi="Arial" w:cs="Arial"/>
          <w:b/>
          <w:bCs/>
          <w:i/>
          <w:iCs/>
          <w:sz w:val="22"/>
          <w:szCs w:val="22"/>
        </w:rPr>
        <w:t>SACoMD</w:t>
      </w:r>
      <w:proofErr w:type="spellEnd"/>
      <w:r w:rsidR="00F3666D">
        <w:rPr>
          <w:rFonts w:ascii="Arial" w:hAnsi="Arial" w:cs="Arial"/>
          <w:b/>
          <w:bCs/>
          <w:i/>
          <w:iCs/>
          <w:sz w:val="22"/>
          <w:szCs w:val="22"/>
        </w:rPr>
        <w:t>)</w:t>
      </w:r>
      <w:r w:rsidRPr="00F66F4A">
        <w:rPr>
          <w:rFonts w:ascii="Arial" w:hAnsi="Arial" w:cs="Arial"/>
          <w:sz w:val="22"/>
          <w:szCs w:val="22"/>
        </w:rPr>
        <w:t>, which facilitates collective engagement among medical-school leadership on health sciences education, research and health-service matters.</w:t>
      </w:r>
    </w:p>
    <w:p w14:paraId="168A928B" w14:textId="185E9504"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 xml:space="preserve">The </w:t>
      </w:r>
      <w:r w:rsidRPr="00511F94">
        <w:rPr>
          <w:rFonts w:ascii="Arial" w:hAnsi="Arial" w:cs="Arial"/>
          <w:i/>
          <w:iCs/>
          <w:sz w:val="22"/>
          <w:szCs w:val="22"/>
        </w:rPr>
        <w:t>Graduate Advisory Board</w:t>
      </w:r>
      <w:r w:rsidRPr="00F66F4A">
        <w:rPr>
          <w:rFonts w:ascii="Arial" w:hAnsi="Arial" w:cs="Arial"/>
          <w:sz w:val="22"/>
          <w:szCs w:val="22"/>
        </w:rPr>
        <w:t xml:space="preserve"> remains primarily a </w:t>
      </w:r>
      <w:r w:rsidR="00A844D8" w:rsidRPr="00F66F4A">
        <w:rPr>
          <w:rFonts w:ascii="Arial" w:hAnsi="Arial" w:cs="Arial"/>
          <w:sz w:val="22"/>
          <w:szCs w:val="22"/>
        </w:rPr>
        <w:t>University of Cape Town</w:t>
      </w:r>
      <w:r w:rsidRPr="00F66F4A">
        <w:rPr>
          <w:rFonts w:ascii="Arial" w:hAnsi="Arial" w:cs="Arial"/>
          <w:sz w:val="22"/>
          <w:szCs w:val="22"/>
        </w:rPr>
        <w:t xml:space="preserve"> MBChB structure. However, its insights may contribute to national learning through the Steve Biko Student Network where:</w:t>
      </w:r>
    </w:p>
    <w:p w14:paraId="5D24A082" w14:textId="77777777" w:rsidR="0041146E" w:rsidRPr="00F66F4A" w:rsidRDefault="0041146E">
      <w:pPr>
        <w:numPr>
          <w:ilvl w:val="0"/>
          <w:numId w:val="14"/>
        </w:numPr>
        <w:spacing w:after="0" w:line="360" w:lineRule="auto"/>
        <w:jc w:val="both"/>
        <w:rPr>
          <w:rFonts w:ascii="Arial" w:hAnsi="Arial" w:cs="Arial"/>
          <w:sz w:val="22"/>
          <w:szCs w:val="22"/>
        </w:rPr>
      </w:pPr>
      <w:r w:rsidRPr="00F66F4A">
        <w:rPr>
          <w:rFonts w:ascii="Arial" w:hAnsi="Arial" w:cs="Arial"/>
          <w:sz w:val="22"/>
          <w:szCs w:val="22"/>
        </w:rPr>
        <w:t>the matter has relevance beyond UCT;</w:t>
      </w:r>
    </w:p>
    <w:p w14:paraId="612E760A" w14:textId="77777777" w:rsidR="0041146E" w:rsidRPr="00F66F4A" w:rsidRDefault="0041146E">
      <w:pPr>
        <w:numPr>
          <w:ilvl w:val="0"/>
          <w:numId w:val="14"/>
        </w:numPr>
        <w:spacing w:after="0" w:line="360" w:lineRule="auto"/>
        <w:jc w:val="both"/>
        <w:rPr>
          <w:rFonts w:ascii="Arial" w:hAnsi="Arial" w:cs="Arial"/>
          <w:sz w:val="22"/>
          <w:szCs w:val="22"/>
        </w:rPr>
      </w:pPr>
      <w:r w:rsidRPr="00F66F4A">
        <w:rPr>
          <w:rFonts w:ascii="Arial" w:hAnsi="Arial" w:cs="Arial"/>
          <w:sz w:val="22"/>
          <w:szCs w:val="22"/>
        </w:rPr>
        <w:t>appropriate institutional permissions have been obtained;</w:t>
      </w:r>
    </w:p>
    <w:p w14:paraId="4E733D2A" w14:textId="77777777" w:rsidR="0041146E" w:rsidRPr="00F66F4A" w:rsidRDefault="0041146E">
      <w:pPr>
        <w:numPr>
          <w:ilvl w:val="0"/>
          <w:numId w:val="14"/>
        </w:numPr>
        <w:spacing w:after="0" w:line="360" w:lineRule="auto"/>
        <w:jc w:val="both"/>
        <w:rPr>
          <w:rFonts w:ascii="Arial" w:hAnsi="Arial" w:cs="Arial"/>
          <w:sz w:val="22"/>
          <w:szCs w:val="22"/>
        </w:rPr>
      </w:pPr>
      <w:r w:rsidRPr="00F66F4A">
        <w:rPr>
          <w:rFonts w:ascii="Arial" w:hAnsi="Arial" w:cs="Arial"/>
          <w:sz w:val="22"/>
          <w:szCs w:val="22"/>
        </w:rPr>
        <w:t>confidential information has been removed; and</w:t>
      </w:r>
    </w:p>
    <w:p w14:paraId="35FE64CD" w14:textId="77777777" w:rsidR="0041146E" w:rsidRPr="00F66F4A" w:rsidRDefault="0041146E">
      <w:pPr>
        <w:numPr>
          <w:ilvl w:val="0"/>
          <w:numId w:val="14"/>
        </w:numPr>
        <w:spacing w:after="0" w:line="360" w:lineRule="auto"/>
        <w:jc w:val="both"/>
        <w:rPr>
          <w:rFonts w:ascii="Arial" w:hAnsi="Arial" w:cs="Arial"/>
          <w:sz w:val="22"/>
          <w:szCs w:val="22"/>
        </w:rPr>
      </w:pPr>
      <w:r w:rsidRPr="00F66F4A">
        <w:rPr>
          <w:rFonts w:ascii="Arial" w:hAnsi="Arial" w:cs="Arial"/>
          <w:sz w:val="22"/>
          <w:szCs w:val="22"/>
        </w:rPr>
        <w:t>the contribution supports constructive comparison rather than institutional ranking or criticism.</w:t>
      </w:r>
    </w:p>
    <w:p w14:paraId="4126A860" w14:textId="78FCC6AB"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lastRenderedPageBreak/>
        <w:t>The national network provides a pathway for sharing lessons across institutions. The Graduate Advisory Board ensures that UCT’s contribution to that work remains grounded in the actual experiences of its graduates.</w:t>
      </w:r>
    </w:p>
    <w:p w14:paraId="78E30992" w14:textId="690EE6BC" w:rsidR="0041146E" w:rsidRPr="00F66F4A" w:rsidRDefault="0041146E" w:rsidP="00F66F4A">
      <w:pPr>
        <w:spacing w:after="0" w:line="360" w:lineRule="auto"/>
        <w:jc w:val="both"/>
        <w:rPr>
          <w:rFonts w:ascii="Arial" w:hAnsi="Arial" w:cs="Arial"/>
          <w:sz w:val="22"/>
          <w:szCs w:val="22"/>
        </w:rPr>
      </w:pPr>
    </w:p>
    <w:p w14:paraId="38F32545" w14:textId="6EA71C3C" w:rsidR="0041146E" w:rsidRPr="00F66F4A" w:rsidRDefault="0041146E">
      <w:pPr>
        <w:pStyle w:val="ListParagraph"/>
        <w:numPr>
          <w:ilvl w:val="0"/>
          <w:numId w:val="1"/>
        </w:numPr>
        <w:spacing w:after="0" w:line="360" w:lineRule="auto"/>
        <w:jc w:val="both"/>
        <w:rPr>
          <w:rFonts w:ascii="Arial" w:hAnsi="Arial" w:cs="Arial"/>
          <w:b/>
          <w:bCs/>
          <w:sz w:val="22"/>
          <w:szCs w:val="22"/>
        </w:rPr>
      </w:pPr>
      <w:r w:rsidRPr="00F66F4A">
        <w:rPr>
          <w:rFonts w:ascii="Arial" w:hAnsi="Arial" w:cs="Arial"/>
          <w:sz w:val="22"/>
          <w:szCs w:val="22"/>
        </w:rPr>
        <w:t xml:space="preserve"> </w:t>
      </w:r>
      <w:r w:rsidR="009F317C" w:rsidRPr="00F66F4A">
        <w:rPr>
          <w:rFonts w:ascii="Arial" w:hAnsi="Arial" w:cs="Arial"/>
          <w:b/>
          <w:bCs/>
          <w:sz w:val="22"/>
          <w:szCs w:val="22"/>
        </w:rPr>
        <w:t>CONFIDENTIALITY AND USE OF INFORMATION</w:t>
      </w:r>
    </w:p>
    <w:p w14:paraId="5A6729EC" w14:textId="41EE00DA"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Members must protect confidential information encountered through the Board.</w:t>
      </w:r>
      <w:r w:rsidR="00511F94">
        <w:rPr>
          <w:rFonts w:ascii="Arial" w:hAnsi="Arial" w:cs="Arial"/>
          <w:sz w:val="22"/>
          <w:szCs w:val="22"/>
        </w:rPr>
        <w:t xml:space="preserve"> </w:t>
      </w:r>
      <w:r w:rsidRPr="00F66F4A">
        <w:rPr>
          <w:rFonts w:ascii="Arial" w:hAnsi="Arial" w:cs="Arial"/>
          <w:sz w:val="22"/>
          <w:szCs w:val="22"/>
        </w:rPr>
        <w:t>Patient-identifiable, student-identifiable or staff-identifiable information must not be included in Board discussions or records unless formally authorised and necessary for an approved process.</w:t>
      </w:r>
      <w:r w:rsidR="00F66F4A" w:rsidRPr="00F66F4A">
        <w:rPr>
          <w:rFonts w:ascii="Arial" w:hAnsi="Arial" w:cs="Arial"/>
          <w:sz w:val="22"/>
          <w:szCs w:val="22"/>
        </w:rPr>
        <w:t xml:space="preserve"> </w:t>
      </w:r>
      <w:r w:rsidRPr="00F66F4A">
        <w:rPr>
          <w:rFonts w:ascii="Arial" w:hAnsi="Arial" w:cs="Arial"/>
          <w:sz w:val="22"/>
          <w:szCs w:val="22"/>
        </w:rPr>
        <w:t>Board findings should ordinarily be reported at the level of themes, patterns and system implications.</w:t>
      </w:r>
      <w:r w:rsidR="00F66F4A" w:rsidRPr="00F66F4A">
        <w:rPr>
          <w:rFonts w:ascii="Arial" w:hAnsi="Arial" w:cs="Arial"/>
          <w:sz w:val="22"/>
          <w:szCs w:val="22"/>
        </w:rPr>
        <w:t xml:space="preserve"> </w:t>
      </w:r>
      <w:r w:rsidRPr="00F66F4A">
        <w:rPr>
          <w:rFonts w:ascii="Arial" w:hAnsi="Arial" w:cs="Arial"/>
          <w:sz w:val="22"/>
          <w:szCs w:val="22"/>
        </w:rPr>
        <w:t>Advice provided by the Board may be incorporated into internal reports, curriculum reviews and programme recommendations. Any public use of attributed comments requires the relevant member’s permission.</w:t>
      </w:r>
    </w:p>
    <w:p w14:paraId="17A9D4AB" w14:textId="0AD7465E" w:rsidR="0041146E" w:rsidRPr="00F66F4A" w:rsidRDefault="0041146E" w:rsidP="00F66F4A">
      <w:pPr>
        <w:spacing w:after="0" w:line="360" w:lineRule="auto"/>
        <w:jc w:val="both"/>
        <w:rPr>
          <w:rFonts w:ascii="Arial" w:hAnsi="Arial" w:cs="Arial"/>
          <w:sz w:val="22"/>
          <w:szCs w:val="22"/>
        </w:rPr>
      </w:pPr>
    </w:p>
    <w:p w14:paraId="69505FB0" w14:textId="688DF918" w:rsidR="0041146E" w:rsidRPr="00F66F4A" w:rsidRDefault="0041146E">
      <w:pPr>
        <w:pStyle w:val="ListParagraph"/>
        <w:numPr>
          <w:ilvl w:val="0"/>
          <w:numId w:val="1"/>
        </w:numPr>
        <w:spacing w:after="0" w:line="360" w:lineRule="auto"/>
        <w:jc w:val="both"/>
        <w:rPr>
          <w:rFonts w:ascii="Arial" w:hAnsi="Arial" w:cs="Arial"/>
          <w:b/>
          <w:bCs/>
          <w:sz w:val="22"/>
          <w:szCs w:val="22"/>
        </w:rPr>
      </w:pPr>
      <w:r w:rsidRPr="00F66F4A">
        <w:rPr>
          <w:rFonts w:ascii="Arial" w:hAnsi="Arial" w:cs="Arial"/>
          <w:sz w:val="22"/>
          <w:szCs w:val="22"/>
        </w:rPr>
        <w:t xml:space="preserve"> </w:t>
      </w:r>
      <w:r w:rsidR="00F66F4A" w:rsidRPr="00F66F4A">
        <w:rPr>
          <w:rFonts w:ascii="Arial" w:hAnsi="Arial" w:cs="Arial"/>
          <w:b/>
          <w:bCs/>
          <w:sz w:val="22"/>
          <w:szCs w:val="22"/>
        </w:rPr>
        <w:t>REPORTING</w:t>
      </w:r>
    </w:p>
    <w:p w14:paraId="4B73CC49" w14:textId="77777777"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Board will produce one concise annual advisory report containing:</w:t>
      </w:r>
    </w:p>
    <w:p w14:paraId="3470F532"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the matters considered;</w:t>
      </w:r>
    </w:p>
    <w:p w14:paraId="6C7B4F7C"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principal strengths identified;</w:t>
      </w:r>
    </w:p>
    <w:p w14:paraId="51A53D75"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priority gaps or risks;</w:t>
      </w:r>
    </w:p>
    <w:p w14:paraId="4B33A39F"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recommendations for programme consideration;</w:t>
      </w:r>
    </w:p>
    <w:p w14:paraId="1718D6BE"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areas requiring further investigation; and</w:t>
      </w:r>
    </w:p>
    <w:p w14:paraId="2EF2F18B" w14:textId="77777777" w:rsidR="0041146E" w:rsidRPr="00F66F4A" w:rsidRDefault="0041146E">
      <w:pPr>
        <w:numPr>
          <w:ilvl w:val="0"/>
          <w:numId w:val="15"/>
        </w:numPr>
        <w:spacing w:after="0" w:line="360" w:lineRule="auto"/>
        <w:jc w:val="both"/>
        <w:rPr>
          <w:rFonts w:ascii="Arial" w:hAnsi="Arial" w:cs="Arial"/>
          <w:sz w:val="22"/>
          <w:szCs w:val="22"/>
        </w:rPr>
      </w:pPr>
      <w:r w:rsidRPr="00F66F4A">
        <w:rPr>
          <w:rFonts w:ascii="Arial" w:hAnsi="Arial" w:cs="Arial"/>
          <w:sz w:val="22"/>
          <w:szCs w:val="22"/>
        </w:rPr>
        <w:t>proposed priorities for the following year.</w:t>
      </w:r>
    </w:p>
    <w:p w14:paraId="33311E9A" w14:textId="77777777" w:rsidR="00511F94" w:rsidRDefault="00511F94" w:rsidP="00F66F4A">
      <w:pPr>
        <w:spacing w:after="0" w:line="360" w:lineRule="auto"/>
        <w:jc w:val="both"/>
        <w:rPr>
          <w:rFonts w:ascii="Arial" w:hAnsi="Arial" w:cs="Arial"/>
          <w:sz w:val="22"/>
          <w:szCs w:val="22"/>
        </w:rPr>
      </w:pPr>
    </w:p>
    <w:p w14:paraId="39293604" w14:textId="62A370F4" w:rsidR="0041146E" w:rsidRPr="00F66F4A" w:rsidRDefault="0041146E" w:rsidP="00F66F4A">
      <w:pPr>
        <w:spacing w:after="0" w:line="360" w:lineRule="auto"/>
        <w:jc w:val="both"/>
        <w:rPr>
          <w:rFonts w:ascii="Arial" w:hAnsi="Arial" w:cs="Arial"/>
          <w:sz w:val="22"/>
          <w:szCs w:val="22"/>
        </w:rPr>
      </w:pPr>
      <w:r w:rsidRPr="00F66F4A">
        <w:rPr>
          <w:rFonts w:ascii="Arial" w:hAnsi="Arial" w:cs="Arial"/>
          <w:sz w:val="22"/>
          <w:szCs w:val="22"/>
        </w:rPr>
        <w:t>The report will be submitted to the Head of the MBChB Programme and may be presented to the MBChB Executive Committee.</w:t>
      </w:r>
    </w:p>
    <w:p w14:paraId="7BDC6BA2" w14:textId="77777777" w:rsidR="0041146E" w:rsidRPr="00F66F4A" w:rsidRDefault="0041146E" w:rsidP="00F66F4A">
      <w:pPr>
        <w:spacing w:after="0" w:line="360" w:lineRule="auto"/>
        <w:jc w:val="both"/>
        <w:rPr>
          <w:rFonts w:ascii="Arial" w:hAnsi="Arial" w:cs="Arial"/>
          <w:sz w:val="22"/>
          <w:szCs w:val="22"/>
        </w:rPr>
      </w:pPr>
    </w:p>
    <w:sectPr w:rsidR="0041146E" w:rsidRPr="00F66F4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B8F07" w14:textId="77777777" w:rsidR="005D1CA3" w:rsidRDefault="005D1CA3" w:rsidP="004E31B6">
      <w:pPr>
        <w:spacing w:after="0" w:line="240" w:lineRule="auto"/>
      </w:pPr>
      <w:r>
        <w:separator/>
      </w:r>
    </w:p>
  </w:endnote>
  <w:endnote w:type="continuationSeparator" w:id="0">
    <w:p w14:paraId="3B86C823" w14:textId="77777777" w:rsidR="005D1CA3" w:rsidRDefault="005D1CA3" w:rsidP="004E3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638399"/>
      <w:docPartObj>
        <w:docPartGallery w:val="Page Numbers (Bottom of Page)"/>
        <w:docPartUnique/>
      </w:docPartObj>
    </w:sdtPr>
    <w:sdtEndPr>
      <w:rPr>
        <w:noProof/>
      </w:rPr>
    </w:sdtEndPr>
    <w:sdtContent>
      <w:p w14:paraId="3CA41FEF" w14:textId="6BE701C5" w:rsidR="004E31B6" w:rsidRDefault="004E31B6">
        <w:pPr>
          <w:pStyle w:val="Footer"/>
          <w:jc w:val="right"/>
        </w:pPr>
        <w:r>
          <w:rPr>
            <w:noProof/>
          </w:rPr>
          <w:drawing>
            <wp:anchor distT="0" distB="0" distL="114300" distR="114300" simplePos="0" relativeHeight="251659264" behindDoc="0" locked="0" layoutInCell="1" allowOverlap="1" wp14:anchorId="1DFD3126" wp14:editId="0C87FC1B">
              <wp:simplePos x="0" y="0"/>
              <wp:positionH relativeFrom="page">
                <wp:align>right</wp:align>
              </wp:positionH>
              <wp:positionV relativeFrom="paragraph">
                <wp:posOffset>274955</wp:posOffset>
              </wp:positionV>
              <wp:extent cx="7560310" cy="534035"/>
              <wp:effectExtent l="0" t="0" r="2540" b="0"/>
              <wp:wrapNone/>
              <wp:docPr id="726601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01279" name=""/>
                      <pic:cNvPicPr/>
                    </pic:nvPicPr>
                    <pic:blipFill>
                      <a:blip r:embed="rId1">
                        <a:extLst>
                          <a:ext uri="{28A0092B-C50C-407E-A947-70E740481C1C}">
                            <a14:useLocalDpi xmlns:a14="http://schemas.microsoft.com/office/drawing/2010/main" val="0"/>
                          </a:ext>
                        </a:extLst>
                      </a:blip>
                      <a:stretch>
                        <a:fillRect/>
                      </a:stretch>
                    </pic:blipFill>
                    <pic:spPr>
                      <a:xfrm>
                        <a:off x="0" y="0"/>
                        <a:ext cx="7560310" cy="53403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7D74E44" w14:textId="7004315F" w:rsidR="004E31B6" w:rsidRDefault="004E3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FD09" w14:textId="77777777" w:rsidR="005D1CA3" w:rsidRDefault="005D1CA3" w:rsidP="004E31B6">
      <w:pPr>
        <w:spacing w:after="0" w:line="240" w:lineRule="auto"/>
      </w:pPr>
      <w:r>
        <w:separator/>
      </w:r>
    </w:p>
  </w:footnote>
  <w:footnote w:type="continuationSeparator" w:id="0">
    <w:p w14:paraId="7ABFD5A9" w14:textId="77777777" w:rsidR="005D1CA3" w:rsidRDefault="005D1CA3" w:rsidP="004E3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5802" w14:textId="51E6F252" w:rsidR="007819D9" w:rsidRPr="007819D9" w:rsidRDefault="007819D9">
    <w:pPr>
      <w:pStyle w:val="Header"/>
      <w:rPr>
        <w:rFonts w:ascii="Gill Sans MT" w:hAnsi="Gill Sans MT"/>
        <w:b/>
        <w:bCs/>
        <w:color w:val="002060"/>
      </w:rPr>
    </w:pPr>
    <w:r w:rsidRPr="007819D9">
      <w:rPr>
        <w:rFonts w:ascii="Gill Sans MT" w:hAnsi="Gill Sans MT"/>
        <w:noProof/>
        <w:color w:val="002060"/>
      </w:rPr>
      <w:drawing>
        <wp:anchor distT="0" distB="0" distL="114300" distR="114300" simplePos="0" relativeHeight="251661312" behindDoc="1" locked="0" layoutInCell="1" allowOverlap="1" wp14:anchorId="1027F898" wp14:editId="5ABA26A9">
          <wp:simplePos x="0" y="0"/>
          <wp:positionH relativeFrom="margin">
            <wp:posOffset>-635</wp:posOffset>
          </wp:positionH>
          <wp:positionV relativeFrom="paragraph">
            <wp:posOffset>-22987</wp:posOffset>
          </wp:positionV>
          <wp:extent cx="476250" cy="399415"/>
          <wp:effectExtent l="0" t="0" r="0" b="635"/>
          <wp:wrapTight wrapText="bothSides">
            <wp:wrapPolygon edited="0">
              <wp:start x="6048" y="0"/>
              <wp:lineTo x="0" y="3091"/>
              <wp:lineTo x="0" y="17514"/>
              <wp:lineTo x="4320" y="20604"/>
              <wp:lineTo x="5184" y="20604"/>
              <wp:lineTo x="12096" y="20604"/>
              <wp:lineTo x="20736" y="19574"/>
              <wp:lineTo x="20736" y="1030"/>
              <wp:lineTo x="12096" y="0"/>
              <wp:lineTo x="6048" y="0"/>
            </wp:wrapPolygon>
          </wp:wrapTight>
          <wp:docPr id="1125933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rotWithShape="1">
                  <a:blip r:embed="rId1">
                    <a:extLst>
                      <a:ext uri="{28A0092B-C50C-407E-A947-70E740481C1C}">
                        <a14:useLocalDpi xmlns:a14="http://schemas.microsoft.com/office/drawing/2010/main" val="0"/>
                      </a:ext>
                    </a:extLst>
                  </a:blip>
                  <a:srcRect r="70113"/>
                  <a:stretch>
                    <a:fillRect/>
                  </a:stretch>
                </pic:blipFill>
                <pic:spPr bwMode="auto">
                  <a:xfrm>
                    <a:off x="0" y="0"/>
                    <a:ext cx="476250" cy="399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Gill Sans MT" w:hAnsi="Gill Sans MT"/>
        <w:b/>
        <w:bCs/>
        <w:color w:val="002060"/>
      </w:rPr>
      <w:t xml:space="preserve">UCT </w:t>
    </w:r>
    <w:r w:rsidR="00134DFD">
      <w:rPr>
        <w:rFonts w:ascii="Gill Sans MT" w:hAnsi="Gill Sans MT"/>
        <w:b/>
        <w:bCs/>
        <w:color w:val="002060"/>
      </w:rPr>
      <w:t xml:space="preserve">MBCHB </w:t>
    </w:r>
    <w:r w:rsidR="00134DFD" w:rsidRPr="007819D9">
      <w:rPr>
        <w:rFonts w:ascii="Gill Sans MT" w:hAnsi="Gill Sans MT"/>
        <w:b/>
        <w:bCs/>
        <w:color w:val="002060"/>
      </w:rPr>
      <w:t xml:space="preserve">GRADUATE ADVISORY </w:t>
    </w:r>
    <w:r w:rsidR="007A57CA">
      <w:rPr>
        <w:rFonts w:ascii="Gill Sans MT" w:hAnsi="Gill Sans MT"/>
        <w:b/>
        <w:bCs/>
        <w:color w:val="002060"/>
      </w:rPr>
      <w:t>BOARD</w:t>
    </w:r>
  </w:p>
  <w:p w14:paraId="341AC080" w14:textId="77777777" w:rsidR="00225471" w:rsidRDefault="007819D9">
    <w:pPr>
      <w:pStyle w:val="Header"/>
      <w:rPr>
        <w:rFonts w:ascii="Gill Sans MT" w:hAnsi="Gill Sans MT"/>
        <w:i/>
        <w:iCs/>
        <w:color w:val="002060"/>
      </w:rPr>
    </w:pPr>
    <w:r w:rsidRPr="007819D9">
      <w:rPr>
        <w:rFonts w:ascii="Gill Sans MT" w:hAnsi="Gill Sans MT"/>
        <w:color w:val="002060"/>
      </w:rPr>
      <w:t>TERMS OF REFERENCE</w:t>
    </w:r>
    <w:r>
      <w:rPr>
        <w:rFonts w:ascii="Gill Sans MT" w:hAnsi="Gill Sans MT"/>
        <w:color w:val="002060"/>
      </w:rPr>
      <w:t xml:space="preserve"> | </w:t>
    </w:r>
    <w:r w:rsidRPr="007819D9">
      <w:rPr>
        <w:rFonts w:ascii="Gill Sans MT" w:hAnsi="Gill Sans MT"/>
        <w:i/>
        <w:iCs/>
        <w:color w:val="002060"/>
      </w:rPr>
      <w:t>2026-2028</w:t>
    </w:r>
  </w:p>
  <w:p w14:paraId="64F0F882" w14:textId="5590EE81" w:rsidR="00AB3E31" w:rsidRPr="007819D9" w:rsidRDefault="00134DFD">
    <w:pPr>
      <w:pStyle w:val="Header"/>
    </w:pPr>
    <w:r w:rsidRPr="007819D9">
      <w:rPr>
        <w:rFonts w:ascii="Gill Sans MT" w:hAnsi="Gill Sans MT"/>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2028"/>
    <w:multiLevelType w:val="multilevel"/>
    <w:tmpl w:val="89C4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D1AA9"/>
    <w:multiLevelType w:val="multilevel"/>
    <w:tmpl w:val="E92C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648FE"/>
    <w:multiLevelType w:val="multilevel"/>
    <w:tmpl w:val="F704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32F91"/>
    <w:multiLevelType w:val="multilevel"/>
    <w:tmpl w:val="1418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2727D1"/>
    <w:multiLevelType w:val="multilevel"/>
    <w:tmpl w:val="AD7CE272"/>
    <w:lvl w:ilvl="0">
      <w:start w:val="1"/>
      <w:numFmt w:val="lowerRoman"/>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EF0104"/>
    <w:multiLevelType w:val="multilevel"/>
    <w:tmpl w:val="481EF6C2"/>
    <w:lvl w:ilvl="0">
      <w:start w:val="1"/>
      <w:numFmt w:val="upperRoman"/>
      <w:lvlText w:val="%1."/>
      <w:lvlJc w:val="left"/>
      <w:pPr>
        <w:tabs>
          <w:tab w:val="num" w:pos="644"/>
        </w:tabs>
        <w:ind w:left="644" w:hanging="360"/>
      </w:pPr>
      <w:rPr>
        <w:rFonts w:asciiTheme="minorHAnsi" w:eastAsiaTheme="minorHAnsi" w:hAnsiTheme="minorHAnsi" w:cstheme="minorBidi"/>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6" w15:restartNumberingAfterBreak="0">
    <w:nsid w:val="44273E65"/>
    <w:multiLevelType w:val="multilevel"/>
    <w:tmpl w:val="D0E2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85787A"/>
    <w:multiLevelType w:val="multilevel"/>
    <w:tmpl w:val="86DA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FD4464"/>
    <w:multiLevelType w:val="multilevel"/>
    <w:tmpl w:val="326A9B7C"/>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821A8C"/>
    <w:multiLevelType w:val="multilevel"/>
    <w:tmpl w:val="565A1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22A6C"/>
    <w:multiLevelType w:val="multilevel"/>
    <w:tmpl w:val="430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49028A"/>
    <w:multiLevelType w:val="multilevel"/>
    <w:tmpl w:val="1074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1F30F6"/>
    <w:multiLevelType w:val="multilevel"/>
    <w:tmpl w:val="C088D40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7BCE5962"/>
    <w:multiLevelType w:val="multilevel"/>
    <w:tmpl w:val="8A16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7E51B9"/>
    <w:multiLevelType w:val="multilevel"/>
    <w:tmpl w:val="D554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3816422">
    <w:abstractNumId w:val="12"/>
  </w:num>
  <w:num w:numId="2" w16cid:durableId="199900438">
    <w:abstractNumId w:val="4"/>
  </w:num>
  <w:num w:numId="3" w16cid:durableId="712657591">
    <w:abstractNumId w:val="0"/>
  </w:num>
  <w:num w:numId="4" w16cid:durableId="1730113207">
    <w:abstractNumId w:val="1"/>
  </w:num>
  <w:num w:numId="5" w16cid:durableId="127744535">
    <w:abstractNumId w:val="3"/>
  </w:num>
  <w:num w:numId="6" w16cid:durableId="2120447421">
    <w:abstractNumId w:val="7"/>
  </w:num>
  <w:num w:numId="7" w16cid:durableId="675419099">
    <w:abstractNumId w:val="2"/>
  </w:num>
  <w:num w:numId="8" w16cid:durableId="1548293886">
    <w:abstractNumId w:val="5"/>
  </w:num>
  <w:num w:numId="9" w16cid:durableId="1306200768">
    <w:abstractNumId w:val="11"/>
  </w:num>
  <w:num w:numId="10" w16cid:durableId="2008553124">
    <w:abstractNumId w:val="9"/>
  </w:num>
  <w:num w:numId="11" w16cid:durableId="1226407249">
    <w:abstractNumId w:val="13"/>
  </w:num>
  <w:num w:numId="12" w16cid:durableId="603221864">
    <w:abstractNumId w:val="8"/>
  </w:num>
  <w:num w:numId="13" w16cid:durableId="1529757138">
    <w:abstractNumId w:val="6"/>
  </w:num>
  <w:num w:numId="14" w16cid:durableId="999693242">
    <w:abstractNumId w:val="10"/>
  </w:num>
  <w:num w:numId="15" w16cid:durableId="1472601714">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6D"/>
    <w:rsid w:val="00021706"/>
    <w:rsid w:val="00134DFD"/>
    <w:rsid w:val="001C49F7"/>
    <w:rsid w:val="00225471"/>
    <w:rsid w:val="00304548"/>
    <w:rsid w:val="003E627A"/>
    <w:rsid w:val="0041146E"/>
    <w:rsid w:val="004E31B6"/>
    <w:rsid w:val="00511F94"/>
    <w:rsid w:val="005D1CA3"/>
    <w:rsid w:val="005F2B23"/>
    <w:rsid w:val="00601895"/>
    <w:rsid w:val="006D39D8"/>
    <w:rsid w:val="00706FBF"/>
    <w:rsid w:val="00715A38"/>
    <w:rsid w:val="007577B9"/>
    <w:rsid w:val="007819D9"/>
    <w:rsid w:val="007A57CA"/>
    <w:rsid w:val="008102BA"/>
    <w:rsid w:val="00865AB2"/>
    <w:rsid w:val="00974C3A"/>
    <w:rsid w:val="0099006D"/>
    <w:rsid w:val="009D6B8D"/>
    <w:rsid w:val="009F317C"/>
    <w:rsid w:val="00A07626"/>
    <w:rsid w:val="00A822A5"/>
    <w:rsid w:val="00A844D8"/>
    <w:rsid w:val="00AB3E31"/>
    <w:rsid w:val="00C85488"/>
    <w:rsid w:val="00C97812"/>
    <w:rsid w:val="00CC5A5A"/>
    <w:rsid w:val="00CE33AE"/>
    <w:rsid w:val="00CE43B7"/>
    <w:rsid w:val="00D2467B"/>
    <w:rsid w:val="00D412EB"/>
    <w:rsid w:val="00E15DB7"/>
    <w:rsid w:val="00F3666D"/>
    <w:rsid w:val="00F66F4A"/>
    <w:rsid w:val="00F702CE"/>
    <w:rsid w:val="00FA4BED"/>
    <w:rsid w:val="00FF1D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47BC5"/>
  <w15:chartTrackingRefBased/>
  <w15:docId w15:val="{BC869D53-1C1B-4554-BA40-1E14C7D1E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0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0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0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0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0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0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0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0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0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0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0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0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0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0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0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06D"/>
    <w:rPr>
      <w:rFonts w:eastAsiaTheme="majorEastAsia" w:cstheme="majorBidi"/>
      <w:color w:val="272727" w:themeColor="text1" w:themeTint="D8"/>
    </w:rPr>
  </w:style>
  <w:style w:type="paragraph" w:styleId="Title">
    <w:name w:val="Title"/>
    <w:basedOn w:val="Normal"/>
    <w:next w:val="Normal"/>
    <w:link w:val="TitleChar"/>
    <w:uiPriority w:val="10"/>
    <w:qFormat/>
    <w:rsid w:val="00990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0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06D"/>
    <w:pPr>
      <w:spacing w:before="160"/>
      <w:jc w:val="center"/>
    </w:pPr>
    <w:rPr>
      <w:i/>
      <w:iCs/>
      <w:color w:val="404040" w:themeColor="text1" w:themeTint="BF"/>
    </w:rPr>
  </w:style>
  <w:style w:type="character" w:customStyle="1" w:styleId="QuoteChar">
    <w:name w:val="Quote Char"/>
    <w:basedOn w:val="DefaultParagraphFont"/>
    <w:link w:val="Quote"/>
    <w:uiPriority w:val="29"/>
    <w:rsid w:val="0099006D"/>
    <w:rPr>
      <w:i/>
      <w:iCs/>
      <w:color w:val="404040" w:themeColor="text1" w:themeTint="BF"/>
    </w:rPr>
  </w:style>
  <w:style w:type="paragraph" w:styleId="ListParagraph">
    <w:name w:val="List Paragraph"/>
    <w:basedOn w:val="Normal"/>
    <w:uiPriority w:val="34"/>
    <w:qFormat/>
    <w:rsid w:val="0099006D"/>
    <w:pPr>
      <w:ind w:left="720"/>
      <w:contextualSpacing/>
    </w:pPr>
  </w:style>
  <w:style w:type="character" w:styleId="IntenseEmphasis">
    <w:name w:val="Intense Emphasis"/>
    <w:basedOn w:val="DefaultParagraphFont"/>
    <w:uiPriority w:val="21"/>
    <w:qFormat/>
    <w:rsid w:val="0099006D"/>
    <w:rPr>
      <w:i/>
      <w:iCs/>
      <w:color w:val="0F4761" w:themeColor="accent1" w:themeShade="BF"/>
    </w:rPr>
  </w:style>
  <w:style w:type="paragraph" w:styleId="IntenseQuote">
    <w:name w:val="Intense Quote"/>
    <w:basedOn w:val="Normal"/>
    <w:next w:val="Normal"/>
    <w:link w:val="IntenseQuoteChar"/>
    <w:uiPriority w:val="30"/>
    <w:qFormat/>
    <w:rsid w:val="00990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06D"/>
    <w:rPr>
      <w:i/>
      <w:iCs/>
      <w:color w:val="0F4761" w:themeColor="accent1" w:themeShade="BF"/>
    </w:rPr>
  </w:style>
  <w:style w:type="character" w:styleId="IntenseReference">
    <w:name w:val="Intense Reference"/>
    <w:basedOn w:val="DefaultParagraphFont"/>
    <w:uiPriority w:val="32"/>
    <w:qFormat/>
    <w:rsid w:val="0099006D"/>
    <w:rPr>
      <w:b/>
      <w:bCs/>
      <w:smallCaps/>
      <w:color w:val="0F4761" w:themeColor="accent1" w:themeShade="BF"/>
      <w:spacing w:val="5"/>
    </w:rPr>
  </w:style>
  <w:style w:type="paragraph" w:styleId="Header">
    <w:name w:val="header"/>
    <w:basedOn w:val="Normal"/>
    <w:link w:val="HeaderChar"/>
    <w:uiPriority w:val="99"/>
    <w:unhideWhenUsed/>
    <w:rsid w:val="004E3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B6"/>
  </w:style>
  <w:style w:type="paragraph" w:styleId="Footer">
    <w:name w:val="footer"/>
    <w:basedOn w:val="Normal"/>
    <w:link w:val="FooterChar"/>
    <w:uiPriority w:val="99"/>
    <w:unhideWhenUsed/>
    <w:rsid w:val="004E3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B6"/>
  </w:style>
  <w:style w:type="paragraph" w:styleId="NormalWeb">
    <w:name w:val="Normal (Web)"/>
    <w:basedOn w:val="Normal"/>
    <w:uiPriority w:val="99"/>
    <w:semiHidden/>
    <w:unhideWhenUsed/>
    <w:rsid w:val="00E15DB7"/>
    <w:pPr>
      <w:spacing w:before="100" w:beforeAutospacing="1" w:after="100" w:afterAutospacing="1" w:line="240" w:lineRule="auto"/>
    </w:pPr>
    <w:rPr>
      <w:rFonts w:ascii="Times New Roman" w:eastAsia="Times New Roman" w:hAnsi="Times New Roman" w:cs="Times New Roman"/>
      <w:kern w:val="0"/>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8</Pages>
  <Words>2169</Words>
  <Characters>12369</Characters>
  <Application>Microsoft Office Word</Application>
  <DocSecurity>0</DocSecurity>
  <Lines>103</Lines>
  <Paragraphs>29</Paragraphs>
  <ScaleCrop>false</ScaleCrop>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Sayuran Pillay</dc:creator>
  <cp:keywords/>
  <dc:description/>
  <cp:lastModifiedBy>Sayuran Pillay</cp:lastModifiedBy>
  <cp:revision>37</cp:revision>
  <dcterms:created xsi:type="dcterms:W3CDTF">2026-07-15T08:09:00Z</dcterms:created>
  <dcterms:modified xsi:type="dcterms:W3CDTF">2026-07-15T12:56:00Z</dcterms:modified>
</cp:coreProperties>
</file>