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2EF8D" w14:textId="4EE9B5CD" w:rsidR="003A15B5" w:rsidRPr="003A15B5" w:rsidRDefault="003A15B5" w:rsidP="003A15B5">
      <w:pPr>
        <w:tabs>
          <w:tab w:val="left" w:pos="2705"/>
        </w:tabs>
        <w:rPr>
          <w:rFonts w:ascii="Arial" w:hAnsi="Arial" w:cs="Arial"/>
          <w:sz w:val="22"/>
          <w:szCs w:val="22"/>
        </w:rPr>
      </w:pPr>
    </w:p>
    <w:p w14:paraId="7F5FE06C" w14:textId="1BD8C08A" w:rsidR="00947943" w:rsidRDefault="00947943" w:rsidP="00153E49">
      <w:pPr>
        <w:spacing w:after="0" w:line="276" w:lineRule="auto"/>
        <w:jc w:val="both"/>
        <w:rPr>
          <w:rFonts w:ascii="Arial" w:hAnsi="Arial" w:cs="Arial"/>
          <w:b/>
          <w:bCs/>
          <w:noProof/>
          <w:sz w:val="22"/>
          <w:szCs w:val="22"/>
        </w:rPr>
      </w:pPr>
    </w:p>
    <w:p w14:paraId="0D48B2F8" w14:textId="77777777" w:rsidR="003A15B5" w:rsidRDefault="003A15B5" w:rsidP="00153E49">
      <w:pPr>
        <w:spacing w:after="0" w:line="276" w:lineRule="auto"/>
        <w:jc w:val="both"/>
        <w:rPr>
          <w:rFonts w:ascii="Arial" w:hAnsi="Arial" w:cs="Arial"/>
          <w:b/>
          <w:bCs/>
          <w:noProof/>
          <w:sz w:val="22"/>
          <w:szCs w:val="22"/>
        </w:rPr>
      </w:pPr>
    </w:p>
    <w:p w14:paraId="2030008A" w14:textId="77777777" w:rsidR="003A15B5" w:rsidRDefault="003A15B5" w:rsidP="00153E49">
      <w:pPr>
        <w:spacing w:after="0" w:line="276" w:lineRule="auto"/>
        <w:jc w:val="both"/>
        <w:rPr>
          <w:rFonts w:ascii="Arial" w:hAnsi="Arial" w:cs="Arial"/>
          <w:b/>
          <w:bCs/>
          <w:noProof/>
          <w:sz w:val="22"/>
          <w:szCs w:val="22"/>
        </w:rPr>
      </w:pPr>
    </w:p>
    <w:p w14:paraId="21DB9E04" w14:textId="77777777" w:rsidR="003A15B5" w:rsidRDefault="003A15B5" w:rsidP="00153E49">
      <w:pPr>
        <w:spacing w:after="0" w:line="276" w:lineRule="auto"/>
        <w:jc w:val="both"/>
        <w:rPr>
          <w:rFonts w:ascii="Arial" w:hAnsi="Arial" w:cs="Arial"/>
          <w:b/>
          <w:bCs/>
          <w:noProof/>
          <w:sz w:val="22"/>
          <w:szCs w:val="22"/>
        </w:rPr>
      </w:pPr>
    </w:p>
    <w:p w14:paraId="06CBFED2" w14:textId="77777777" w:rsidR="003A15B5" w:rsidRDefault="003A15B5" w:rsidP="00153E49">
      <w:pPr>
        <w:spacing w:after="0" w:line="276" w:lineRule="auto"/>
        <w:jc w:val="both"/>
        <w:rPr>
          <w:rFonts w:ascii="Arial" w:hAnsi="Arial" w:cs="Arial"/>
          <w:b/>
          <w:bCs/>
          <w:noProof/>
          <w:sz w:val="22"/>
          <w:szCs w:val="22"/>
        </w:rPr>
      </w:pPr>
    </w:p>
    <w:p w14:paraId="7D30F363" w14:textId="77777777" w:rsidR="003A15B5" w:rsidRDefault="003A15B5" w:rsidP="00153E49">
      <w:pPr>
        <w:spacing w:after="0" w:line="276" w:lineRule="auto"/>
        <w:jc w:val="both"/>
        <w:rPr>
          <w:rFonts w:ascii="Arial" w:hAnsi="Arial" w:cs="Arial"/>
          <w:b/>
          <w:bCs/>
          <w:noProof/>
          <w:sz w:val="22"/>
          <w:szCs w:val="22"/>
        </w:rPr>
      </w:pPr>
    </w:p>
    <w:p w14:paraId="5267E554" w14:textId="77777777" w:rsidR="003A15B5" w:rsidRDefault="003A15B5" w:rsidP="00153E49">
      <w:pPr>
        <w:spacing w:after="0" w:line="276" w:lineRule="auto"/>
        <w:jc w:val="both"/>
        <w:rPr>
          <w:rFonts w:ascii="Arial" w:hAnsi="Arial" w:cs="Arial"/>
          <w:b/>
          <w:bCs/>
          <w:noProof/>
          <w:sz w:val="22"/>
          <w:szCs w:val="22"/>
        </w:rPr>
      </w:pPr>
    </w:p>
    <w:p w14:paraId="7F28745F" w14:textId="77777777" w:rsidR="003A15B5" w:rsidRDefault="003A15B5" w:rsidP="00153E49">
      <w:pPr>
        <w:spacing w:after="0" w:line="276" w:lineRule="auto"/>
        <w:jc w:val="both"/>
        <w:rPr>
          <w:rFonts w:ascii="Arial" w:hAnsi="Arial" w:cs="Arial"/>
          <w:b/>
          <w:bCs/>
          <w:noProof/>
          <w:sz w:val="22"/>
          <w:szCs w:val="22"/>
        </w:rPr>
      </w:pPr>
    </w:p>
    <w:p w14:paraId="3D17785A" w14:textId="77777777" w:rsidR="003A15B5" w:rsidRDefault="003A15B5" w:rsidP="00153E49">
      <w:pPr>
        <w:spacing w:after="0" w:line="276" w:lineRule="auto"/>
        <w:jc w:val="both"/>
        <w:rPr>
          <w:rFonts w:ascii="Arial" w:hAnsi="Arial" w:cs="Arial"/>
          <w:b/>
          <w:bCs/>
          <w:noProof/>
          <w:sz w:val="22"/>
          <w:szCs w:val="22"/>
        </w:rPr>
      </w:pPr>
    </w:p>
    <w:p w14:paraId="2EBB381C" w14:textId="77777777" w:rsidR="003A15B5" w:rsidRDefault="003A15B5" w:rsidP="00153E49">
      <w:pPr>
        <w:spacing w:after="0" w:line="276" w:lineRule="auto"/>
        <w:jc w:val="both"/>
        <w:rPr>
          <w:rFonts w:ascii="Arial" w:hAnsi="Arial" w:cs="Arial"/>
          <w:b/>
          <w:bCs/>
          <w:noProof/>
          <w:sz w:val="22"/>
          <w:szCs w:val="22"/>
        </w:rPr>
      </w:pPr>
    </w:p>
    <w:p w14:paraId="24AEEEB1" w14:textId="77777777" w:rsidR="003A15B5" w:rsidRDefault="003A15B5" w:rsidP="00153E49">
      <w:pPr>
        <w:spacing w:after="0" w:line="276" w:lineRule="auto"/>
        <w:jc w:val="both"/>
        <w:rPr>
          <w:rFonts w:ascii="Arial" w:hAnsi="Arial" w:cs="Arial"/>
          <w:b/>
          <w:bCs/>
          <w:noProof/>
          <w:sz w:val="22"/>
          <w:szCs w:val="22"/>
        </w:rPr>
      </w:pPr>
    </w:p>
    <w:p w14:paraId="546FE31B" w14:textId="77777777" w:rsidR="003A15B5" w:rsidRDefault="003A15B5" w:rsidP="00153E49">
      <w:pPr>
        <w:spacing w:after="0" w:line="276" w:lineRule="auto"/>
        <w:jc w:val="both"/>
        <w:rPr>
          <w:rFonts w:ascii="Arial" w:hAnsi="Arial" w:cs="Arial"/>
          <w:b/>
          <w:bCs/>
          <w:noProof/>
          <w:sz w:val="22"/>
          <w:szCs w:val="22"/>
        </w:rPr>
      </w:pPr>
    </w:p>
    <w:p w14:paraId="3535C3CC" w14:textId="77777777" w:rsidR="003A15B5" w:rsidRDefault="003A15B5" w:rsidP="00153E49">
      <w:pPr>
        <w:spacing w:after="0" w:line="276" w:lineRule="auto"/>
        <w:jc w:val="both"/>
        <w:rPr>
          <w:rFonts w:ascii="Arial" w:hAnsi="Arial" w:cs="Arial"/>
          <w:b/>
          <w:bCs/>
          <w:noProof/>
          <w:sz w:val="22"/>
          <w:szCs w:val="22"/>
        </w:rPr>
      </w:pPr>
    </w:p>
    <w:p w14:paraId="6000A1B7" w14:textId="77777777" w:rsidR="003A15B5" w:rsidRDefault="003A15B5" w:rsidP="00153E49">
      <w:pPr>
        <w:spacing w:after="0" w:line="276" w:lineRule="auto"/>
        <w:jc w:val="both"/>
        <w:rPr>
          <w:rFonts w:ascii="Arial" w:hAnsi="Arial" w:cs="Arial"/>
          <w:b/>
          <w:bCs/>
          <w:noProof/>
          <w:sz w:val="22"/>
          <w:szCs w:val="22"/>
        </w:rPr>
      </w:pPr>
    </w:p>
    <w:p w14:paraId="6DDDDFE4" w14:textId="77777777" w:rsidR="003A15B5" w:rsidRDefault="003A15B5" w:rsidP="00153E49">
      <w:pPr>
        <w:spacing w:after="0" w:line="276" w:lineRule="auto"/>
        <w:jc w:val="both"/>
        <w:rPr>
          <w:rFonts w:ascii="Arial" w:hAnsi="Arial" w:cs="Arial"/>
          <w:b/>
          <w:bCs/>
          <w:noProof/>
          <w:sz w:val="22"/>
          <w:szCs w:val="22"/>
        </w:rPr>
      </w:pPr>
    </w:p>
    <w:p w14:paraId="6D559B7B" w14:textId="77777777" w:rsidR="003A15B5" w:rsidRDefault="003A15B5" w:rsidP="00153E49">
      <w:pPr>
        <w:spacing w:after="0" w:line="276" w:lineRule="auto"/>
        <w:jc w:val="both"/>
        <w:rPr>
          <w:rFonts w:ascii="Arial" w:hAnsi="Arial" w:cs="Arial"/>
          <w:b/>
          <w:bCs/>
          <w:noProof/>
          <w:sz w:val="22"/>
          <w:szCs w:val="22"/>
        </w:rPr>
      </w:pPr>
    </w:p>
    <w:p w14:paraId="4F181048" w14:textId="77777777" w:rsidR="003A15B5" w:rsidRDefault="003A15B5" w:rsidP="00153E49">
      <w:pPr>
        <w:spacing w:after="0" w:line="276" w:lineRule="auto"/>
        <w:jc w:val="both"/>
        <w:rPr>
          <w:rFonts w:ascii="Arial" w:hAnsi="Arial" w:cs="Arial"/>
          <w:b/>
          <w:bCs/>
          <w:noProof/>
          <w:sz w:val="22"/>
          <w:szCs w:val="22"/>
        </w:rPr>
      </w:pPr>
    </w:p>
    <w:p w14:paraId="44B25829" w14:textId="77777777" w:rsidR="003A15B5" w:rsidRDefault="003A15B5" w:rsidP="00153E49">
      <w:pPr>
        <w:spacing w:after="0" w:line="276" w:lineRule="auto"/>
        <w:jc w:val="both"/>
        <w:rPr>
          <w:rFonts w:ascii="Arial" w:hAnsi="Arial" w:cs="Arial"/>
          <w:b/>
          <w:bCs/>
          <w:noProof/>
          <w:sz w:val="22"/>
          <w:szCs w:val="22"/>
        </w:rPr>
      </w:pPr>
    </w:p>
    <w:p w14:paraId="0460CBE1" w14:textId="77777777" w:rsidR="003A15B5" w:rsidRDefault="003A15B5" w:rsidP="00153E49">
      <w:pPr>
        <w:spacing w:after="0" w:line="276" w:lineRule="auto"/>
        <w:jc w:val="both"/>
        <w:rPr>
          <w:rFonts w:ascii="Arial" w:hAnsi="Arial" w:cs="Arial"/>
          <w:b/>
          <w:bCs/>
          <w:noProof/>
          <w:sz w:val="22"/>
          <w:szCs w:val="22"/>
        </w:rPr>
      </w:pPr>
    </w:p>
    <w:p w14:paraId="3ADA6455" w14:textId="77777777" w:rsidR="003A15B5" w:rsidRDefault="003A15B5" w:rsidP="00153E49">
      <w:pPr>
        <w:spacing w:after="0" w:line="276" w:lineRule="auto"/>
        <w:jc w:val="both"/>
        <w:rPr>
          <w:rFonts w:ascii="Arial" w:hAnsi="Arial" w:cs="Arial"/>
          <w:b/>
          <w:bCs/>
          <w:noProof/>
          <w:sz w:val="22"/>
          <w:szCs w:val="22"/>
        </w:rPr>
      </w:pPr>
    </w:p>
    <w:p w14:paraId="4C944B8F" w14:textId="77777777" w:rsidR="003A15B5" w:rsidRDefault="003A15B5" w:rsidP="00153E49">
      <w:pPr>
        <w:spacing w:after="0" w:line="276" w:lineRule="auto"/>
        <w:jc w:val="both"/>
        <w:rPr>
          <w:rFonts w:ascii="Arial" w:hAnsi="Arial" w:cs="Arial"/>
          <w:b/>
          <w:bCs/>
          <w:noProof/>
          <w:sz w:val="22"/>
          <w:szCs w:val="22"/>
        </w:rPr>
      </w:pPr>
    </w:p>
    <w:p w14:paraId="1EFC594A" w14:textId="77777777" w:rsidR="003A15B5" w:rsidRDefault="003A15B5" w:rsidP="00153E49">
      <w:pPr>
        <w:spacing w:after="0" w:line="276" w:lineRule="auto"/>
        <w:jc w:val="both"/>
        <w:rPr>
          <w:rFonts w:ascii="Arial" w:hAnsi="Arial" w:cs="Arial"/>
          <w:b/>
          <w:bCs/>
          <w:noProof/>
          <w:sz w:val="22"/>
          <w:szCs w:val="22"/>
        </w:rPr>
      </w:pPr>
    </w:p>
    <w:p w14:paraId="04CE0FDF" w14:textId="77777777" w:rsidR="003A15B5" w:rsidRDefault="003A15B5" w:rsidP="00153E49">
      <w:pPr>
        <w:spacing w:after="0" w:line="276" w:lineRule="auto"/>
        <w:jc w:val="both"/>
        <w:rPr>
          <w:rFonts w:ascii="Arial" w:hAnsi="Arial" w:cs="Arial"/>
          <w:b/>
          <w:bCs/>
          <w:noProof/>
          <w:sz w:val="22"/>
          <w:szCs w:val="22"/>
        </w:rPr>
      </w:pPr>
    </w:p>
    <w:p w14:paraId="6C2E2EB3" w14:textId="77777777" w:rsidR="003A15B5" w:rsidRDefault="003A15B5" w:rsidP="00153E49">
      <w:pPr>
        <w:spacing w:after="0" w:line="276" w:lineRule="auto"/>
        <w:jc w:val="both"/>
        <w:rPr>
          <w:rFonts w:ascii="Arial" w:hAnsi="Arial" w:cs="Arial"/>
          <w:b/>
          <w:bCs/>
          <w:noProof/>
          <w:sz w:val="22"/>
          <w:szCs w:val="22"/>
        </w:rPr>
      </w:pPr>
    </w:p>
    <w:p w14:paraId="39710CB4" w14:textId="77777777" w:rsidR="003A15B5" w:rsidRDefault="003A15B5" w:rsidP="00153E49">
      <w:pPr>
        <w:spacing w:after="0" w:line="276" w:lineRule="auto"/>
        <w:jc w:val="both"/>
        <w:rPr>
          <w:rFonts w:ascii="Arial" w:hAnsi="Arial" w:cs="Arial"/>
          <w:b/>
          <w:bCs/>
          <w:noProof/>
          <w:sz w:val="22"/>
          <w:szCs w:val="22"/>
        </w:rPr>
      </w:pPr>
    </w:p>
    <w:p w14:paraId="62BD7BCA" w14:textId="77777777" w:rsidR="003A15B5" w:rsidRDefault="003A15B5" w:rsidP="00153E49">
      <w:pPr>
        <w:spacing w:after="0" w:line="276" w:lineRule="auto"/>
        <w:jc w:val="both"/>
        <w:rPr>
          <w:rFonts w:ascii="Arial" w:hAnsi="Arial" w:cs="Arial"/>
          <w:b/>
          <w:bCs/>
          <w:noProof/>
          <w:sz w:val="22"/>
          <w:szCs w:val="22"/>
        </w:rPr>
      </w:pPr>
    </w:p>
    <w:p w14:paraId="11B17E14" w14:textId="77777777" w:rsidR="003A15B5" w:rsidRDefault="003A15B5" w:rsidP="00153E49">
      <w:pPr>
        <w:spacing w:after="0" w:line="276" w:lineRule="auto"/>
        <w:jc w:val="both"/>
        <w:rPr>
          <w:rFonts w:ascii="Arial" w:hAnsi="Arial" w:cs="Arial"/>
          <w:b/>
          <w:bCs/>
          <w:noProof/>
          <w:sz w:val="22"/>
          <w:szCs w:val="22"/>
        </w:rPr>
      </w:pPr>
    </w:p>
    <w:p w14:paraId="355FFA8C" w14:textId="77777777" w:rsidR="003A15B5" w:rsidRDefault="003A15B5" w:rsidP="00153E49">
      <w:pPr>
        <w:spacing w:after="0" w:line="276" w:lineRule="auto"/>
        <w:jc w:val="both"/>
        <w:rPr>
          <w:rFonts w:ascii="Arial" w:hAnsi="Arial" w:cs="Arial"/>
          <w:b/>
          <w:bCs/>
          <w:sz w:val="22"/>
          <w:szCs w:val="22"/>
        </w:rPr>
      </w:pPr>
    </w:p>
    <w:p w14:paraId="3189EDC4" w14:textId="77777777" w:rsidR="00947943" w:rsidRDefault="00947943" w:rsidP="00153E49">
      <w:pPr>
        <w:spacing w:after="0" w:line="276" w:lineRule="auto"/>
        <w:jc w:val="both"/>
        <w:rPr>
          <w:rFonts w:ascii="Arial" w:hAnsi="Arial" w:cs="Arial"/>
          <w:b/>
          <w:bCs/>
          <w:sz w:val="22"/>
          <w:szCs w:val="22"/>
        </w:rPr>
      </w:pPr>
    </w:p>
    <w:p w14:paraId="4A449FFD" w14:textId="77777777" w:rsidR="00947943" w:rsidRDefault="00947943" w:rsidP="00153E49">
      <w:pPr>
        <w:spacing w:after="0" w:line="276" w:lineRule="auto"/>
        <w:jc w:val="both"/>
        <w:rPr>
          <w:rFonts w:ascii="Arial" w:hAnsi="Arial" w:cs="Arial"/>
          <w:b/>
          <w:bCs/>
          <w:sz w:val="22"/>
          <w:szCs w:val="22"/>
        </w:rPr>
      </w:pPr>
    </w:p>
    <w:p w14:paraId="1D778074" w14:textId="77777777" w:rsidR="00947943" w:rsidRDefault="00947943" w:rsidP="00153E49">
      <w:pPr>
        <w:spacing w:after="0" w:line="276" w:lineRule="auto"/>
        <w:jc w:val="both"/>
        <w:rPr>
          <w:rFonts w:ascii="Arial" w:hAnsi="Arial" w:cs="Arial"/>
          <w:b/>
          <w:bCs/>
          <w:sz w:val="22"/>
          <w:szCs w:val="22"/>
        </w:rPr>
      </w:pPr>
    </w:p>
    <w:p w14:paraId="5ECF8C6C" w14:textId="77777777" w:rsidR="00D531F6" w:rsidRDefault="00D531F6" w:rsidP="00153E49">
      <w:pPr>
        <w:spacing w:after="0" w:line="276" w:lineRule="auto"/>
        <w:jc w:val="both"/>
        <w:rPr>
          <w:rFonts w:ascii="Arial" w:hAnsi="Arial" w:cs="Arial"/>
          <w:b/>
          <w:bCs/>
          <w:sz w:val="22"/>
          <w:szCs w:val="22"/>
        </w:rPr>
      </w:pPr>
    </w:p>
    <w:sdt>
      <w:sdtPr>
        <w:rPr>
          <w:rFonts w:asciiTheme="minorHAnsi" w:eastAsiaTheme="minorHAnsi" w:hAnsiTheme="minorHAnsi" w:cstheme="minorBidi"/>
          <w:color w:val="auto"/>
          <w:kern w:val="2"/>
          <w:sz w:val="24"/>
          <w:szCs w:val="24"/>
          <w:lang w:val="en-ZA"/>
          <w14:ligatures w14:val="standardContextual"/>
        </w:rPr>
        <w:id w:val="-1401055449"/>
        <w:docPartObj>
          <w:docPartGallery w:val="Table of Contents"/>
          <w:docPartUnique/>
        </w:docPartObj>
      </w:sdtPr>
      <w:sdtEndPr>
        <w:rPr>
          <w:b/>
          <w:bCs/>
          <w:noProof/>
        </w:rPr>
      </w:sdtEndPr>
      <w:sdtContent>
        <w:p w14:paraId="087955D4" w14:textId="6E8DF00D" w:rsidR="005F4A6C" w:rsidRDefault="005F4A6C">
          <w:pPr>
            <w:pStyle w:val="TOCHeading"/>
            <w:rPr>
              <w:rFonts w:ascii="Gill Sans MT" w:hAnsi="Gill Sans MT"/>
              <w:b/>
              <w:bCs/>
              <w:sz w:val="40"/>
              <w:szCs w:val="40"/>
            </w:rPr>
          </w:pPr>
          <w:r w:rsidRPr="00D300A3">
            <w:rPr>
              <w:rFonts w:ascii="Gill Sans MT" w:hAnsi="Gill Sans MT"/>
              <w:b/>
              <w:bCs/>
              <w:sz w:val="40"/>
              <w:szCs w:val="40"/>
            </w:rPr>
            <w:t>Contents</w:t>
          </w:r>
        </w:p>
        <w:p w14:paraId="08CE6AE1" w14:textId="1EF24FD0" w:rsidR="00C6633F" w:rsidRDefault="005F4A6C">
          <w:pPr>
            <w:pStyle w:val="TOC1"/>
            <w:tabs>
              <w:tab w:val="right" w:leader="dot" w:pos="13948"/>
            </w:tabs>
            <w:rPr>
              <w:rFonts w:eastAsiaTheme="minorEastAsia"/>
              <w:noProof/>
              <w:lang w:eastAsia="en-ZA"/>
            </w:rPr>
          </w:pPr>
          <w:r>
            <w:fldChar w:fldCharType="begin"/>
          </w:r>
          <w:r>
            <w:instrText xml:space="preserve"> TOC \o "1-3" \h \z \u </w:instrText>
          </w:r>
          <w:r>
            <w:fldChar w:fldCharType="separate"/>
          </w:r>
          <w:hyperlink w:anchor="_Toc229519661" w:history="1">
            <w:r w:rsidR="00C6633F" w:rsidRPr="009B6DBF">
              <w:rPr>
                <w:rStyle w:val="Hyperlink"/>
                <w:rFonts w:ascii="Gill Sans MT" w:hAnsi="Gill Sans MT" w:cs="Arial"/>
                <w:b/>
                <w:bCs/>
                <w:noProof/>
              </w:rPr>
              <w:t>Executive Summary</w:t>
            </w:r>
            <w:r w:rsidR="00C6633F">
              <w:rPr>
                <w:noProof/>
                <w:webHidden/>
              </w:rPr>
              <w:tab/>
            </w:r>
            <w:r w:rsidR="00C6633F">
              <w:rPr>
                <w:noProof/>
                <w:webHidden/>
              </w:rPr>
              <w:fldChar w:fldCharType="begin"/>
            </w:r>
            <w:r w:rsidR="00C6633F">
              <w:rPr>
                <w:noProof/>
                <w:webHidden/>
              </w:rPr>
              <w:instrText xml:space="preserve"> PAGEREF _Toc229519661 \h </w:instrText>
            </w:r>
            <w:r w:rsidR="00C6633F">
              <w:rPr>
                <w:noProof/>
                <w:webHidden/>
              </w:rPr>
            </w:r>
            <w:r w:rsidR="00C6633F">
              <w:rPr>
                <w:noProof/>
                <w:webHidden/>
              </w:rPr>
              <w:fldChar w:fldCharType="separate"/>
            </w:r>
            <w:r w:rsidR="00C6633F">
              <w:rPr>
                <w:noProof/>
                <w:webHidden/>
              </w:rPr>
              <w:t>3</w:t>
            </w:r>
            <w:r w:rsidR="00C6633F">
              <w:rPr>
                <w:noProof/>
                <w:webHidden/>
              </w:rPr>
              <w:fldChar w:fldCharType="end"/>
            </w:r>
          </w:hyperlink>
        </w:p>
        <w:p w14:paraId="71E6E797" w14:textId="221DD39B" w:rsidR="00C6633F" w:rsidRPr="00C6633F" w:rsidRDefault="00C6633F">
          <w:pPr>
            <w:pStyle w:val="TOC1"/>
            <w:tabs>
              <w:tab w:val="right" w:leader="dot" w:pos="13948"/>
            </w:tabs>
            <w:rPr>
              <w:rFonts w:eastAsiaTheme="minorEastAsia"/>
              <w:noProof/>
              <w:lang w:eastAsia="en-ZA"/>
            </w:rPr>
          </w:pPr>
          <w:hyperlink w:anchor="_Toc229519662" w:history="1">
            <w:r w:rsidRPr="00C6633F">
              <w:rPr>
                <w:rStyle w:val="Hyperlink"/>
                <w:rFonts w:ascii="Gill Sans MT" w:hAnsi="Gill Sans MT"/>
                <w:noProof/>
              </w:rPr>
              <w:t>1. Purpose and Positioning</w:t>
            </w:r>
            <w:r w:rsidRPr="00C6633F">
              <w:rPr>
                <w:noProof/>
                <w:webHidden/>
              </w:rPr>
              <w:tab/>
            </w:r>
            <w:r w:rsidRPr="00C6633F">
              <w:rPr>
                <w:noProof/>
                <w:webHidden/>
              </w:rPr>
              <w:fldChar w:fldCharType="begin"/>
            </w:r>
            <w:r w:rsidRPr="00C6633F">
              <w:rPr>
                <w:noProof/>
                <w:webHidden/>
              </w:rPr>
              <w:instrText xml:space="preserve"> PAGEREF _Toc229519662 \h </w:instrText>
            </w:r>
            <w:r w:rsidRPr="00C6633F">
              <w:rPr>
                <w:noProof/>
                <w:webHidden/>
              </w:rPr>
            </w:r>
            <w:r w:rsidRPr="00C6633F">
              <w:rPr>
                <w:noProof/>
                <w:webHidden/>
              </w:rPr>
              <w:fldChar w:fldCharType="separate"/>
            </w:r>
            <w:r w:rsidRPr="00C6633F">
              <w:rPr>
                <w:noProof/>
                <w:webHidden/>
              </w:rPr>
              <w:t>4</w:t>
            </w:r>
            <w:r w:rsidRPr="00C6633F">
              <w:rPr>
                <w:noProof/>
                <w:webHidden/>
              </w:rPr>
              <w:fldChar w:fldCharType="end"/>
            </w:r>
          </w:hyperlink>
        </w:p>
        <w:p w14:paraId="424F925A" w14:textId="07A6140C" w:rsidR="00C6633F" w:rsidRPr="00C6633F" w:rsidRDefault="00C6633F">
          <w:pPr>
            <w:pStyle w:val="TOC1"/>
            <w:tabs>
              <w:tab w:val="right" w:leader="dot" w:pos="13948"/>
            </w:tabs>
            <w:rPr>
              <w:rFonts w:eastAsiaTheme="minorEastAsia"/>
              <w:noProof/>
              <w:lang w:eastAsia="en-ZA"/>
            </w:rPr>
          </w:pPr>
          <w:hyperlink w:anchor="_Toc229519663" w:history="1">
            <w:r w:rsidRPr="00C6633F">
              <w:rPr>
                <w:rStyle w:val="Hyperlink"/>
                <w:rFonts w:ascii="Gill Sans MT" w:hAnsi="Gill Sans MT"/>
                <w:noProof/>
              </w:rPr>
              <w:t>2. What the Year 3 IHS Transition Made Visible</w:t>
            </w:r>
            <w:r w:rsidRPr="00C6633F">
              <w:rPr>
                <w:noProof/>
                <w:webHidden/>
              </w:rPr>
              <w:tab/>
            </w:r>
            <w:r w:rsidRPr="00C6633F">
              <w:rPr>
                <w:noProof/>
                <w:webHidden/>
              </w:rPr>
              <w:fldChar w:fldCharType="begin"/>
            </w:r>
            <w:r w:rsidRPr="00C6633F">
              <w:rPr>
                <w:noProof/>
                <w:webHidden/>
              </w:rPr>
              <w:instrText xml:space="preserve"> PAGEREF _Toc229519663 \h </w:instrText>
            </w:r>
            <w:r w:rsidRPr="00C6633F">
              <w:rPr>
                <w:noProof/>
                <w:webHidden/>
              </w:rPr>
            </w:r>
            <w:r w:rsidRPr="00C6633F">
              <w:rPr>
                <w:noProof/>
                <w:webHidden/>
              </w:rPr>
              <w:fldChar w:fldCharType="separate"/>
            </w:r>
            <w:r w:rsidRPr="00C6633F">
              <w:rPr>
                <w:noProof/>
                <w:webHidden/>
              </w:rPr>
              <w:t>5</w:t>
            </w:r>
            <w:r w:rsidRPr="00C6633F">
              <w:rPr>
                <w:noProof/>
                <w:webHidden/>
              </w:rPr>
              <w:fldChar w:fldCharType="end"/>
            </w:r>
          </w:hyperlink>
        </w:p>
        <w:p w14:paraId="01AE6256" w14:textId="230F9C6A" w:rsidR="00C6633F" w:rsidRPr="00C6633F" w:rsidRDefault="00C6633F">
          <w:pPr>
            <w:pStyle w:val="TOC1"/>
            <w:tabs>
              <w:tab w:val="right" w:leader="dot" w:pos="13948"/>
            </w:tabs>
            <w:rPr>
              <w:rFonts w:eastAsiaTheme="minorEastAsia"/>
              <w:noProof/>
              <w:lang w:eastAsia="en-ZA"/>
            </w:rPr>
          </w:pPr>
          <w:hyperlink w:anchor="_Toc229519664" w:history="1">
            <w:r w:rsidRPr="00C6633F">
              <w:rPr>
                <w:rStyle w:val="Hyperlink"/>
                <w:rFonts w:ascii="Gill Sans MT" w:hAnsi="Gill Sans MT" w:cs="Arial"/>
                <w:noProof/>
              </w:rPr>
              <w:t>3. Typed SAQs as a Programme-Level Transition</w:t>
            </w:r>
            <w:r w:rsidRPr="00C6633F">
              <w:rPr>
                <w:noProof/>
                <w:webHidden/>
              </w:rPr>
              <w:tab/>
            </w:r>
            <w:r w:rsidRPr="00C6633F">
              <w:rPr>
                <w:noProof/>
                <w:webHidden/>
              </w:rPr>
              <w:fldChar w:fldCharType="begin"/>
            </w:r>
            <w:r w:rsidRPr="00C6633F">
              <w:rPr>
                <w:noProof/>
                <w:webHidden/>
              </w:rPr>
              <w:instrText xml:space="preserve"> PAGEREF _Toc229519664 \h </w:instrText>
            </w:r>
            <w:r w:rsidRPr="00C6633F">
              <w:rPr>
                <w:noProof/>
                <w:webHidden/>
              </w:rPr>
            </w:r>
            <w:r w:rsidRPr="00C6633F">
              <w:rPr>
                <w:noProof/>
                <w:webHidden/>
              </w:rPr>
              <w:fldChar w:fldCharType="separate"/>
            </w:r>
            <w:r w:rsidRPr="00C6633F">
              <w:rPr>
                <w:noProof/>
                <w:webHidden/>
              </w:rPr>
              <w:t>6</w:t>
            </w:r>
            <w:r w:rsidRPr="00C6633F">
              <w:rPr>
                <w:noProof/>
                <w:webHidden/>
              </w:rPr>
              <w:fldChar w:fldCharType="end"/>
            </w:r>
          </w:hyperlink>
        </w:p>
        <w:p w14:paraId="19FF3657" w14:textId="2481EDD3" w:rsidR="00C6633F" w:rsidRPr="00C6633F" w:rsidRDefault="00C6633F">
          <w:pPr>
            <w:pStyle w:val="TOC1"/>
            <w:tabs>
              <w:tab w:val="right" w:leader="dot" w:pos="13948"/>
            </w:tabs>
            <w:rPr>
              <w:rFonts w:eastAsiaTheme="minorEastAsia"/>
              <w:noProof/>
              <w:lang w:eastAsia="en-ZA"/>
            </w:rPr>
          </w:pPr>
          <w:hyperlink w:anchor="_Toc229519665" w:history="1">
            <w:r w:rsidRPr="00C6633F">
              <w:rPr>
                <w:rStyle w:val="Hyperlink"/>
                <w:rFonts w:ascii="Gill Sans MT" w:hAnsi="Gill Sans MT" w:cs="Arial"/>
                <w:noProof/>
              </w:rPr>
              <w:t>4. Designing and Preparing for Computer-Based SAQs</w:t>
            </w:r>
            <w:r w:rsidRPr="00C6633F">
              <w:rPr>
                <w:noProof/>
                <w:webHidden/>
              </w:rPr>
              <w:tab/>
            </w:r>
            <w:r w:rsidRPr="00C6633F">
              <w:rPr>
                <w:noProof/>
                <w:webHidden/>
              </w:rPr>
              <w:fldChar w:fldCharType="begin"/>
            </w:r>
            <w:r w:rsidRPr="00C6633F">
              <w:rPr>
                <w:noProof/>
                <w:webHidden/>
              </w:rPr>
              <w:instrText xml:space="preserve"> PAGEREF _Toc229519665 \h </w:instrText>
            </w:r>
            <w:r w:rsidRPr="00C6633F">
              <w:rPr>
                <w:noProof/>
                <w:webHidden/>
              </w:rPr>
            </w:r>
            <w:r w:rsidRPr="00C6633F">
              <w:rPr>
                <w:noProof/>
                <w:webHidden/>
              </w:rPr>
              <w:fldChar w:fldCharType="separate"/>
            </w:r>
            <w:r w:rsidRPr="00C6633F">
              <w:rPr>
                <w:noProof/>
                <w:webHidden/>
              </w:rPr>
              <w:t>7</w:t>
            </w:r>
            <w:r w:rsidRPr="00C6633F">
              <w:rPr>
                <w:noProof/>
                <w:webHidden/>
              </w:rPr>
              <w:fldChar w:fldCharType="end"/>
            </w:r>
          </w:hyperlink>
        </w:p>
        <w:p w14:paraId="6ED46AD1" w14:textId="79420C6A" w:rsidR="00C6633F" w:rsidRPr="00C6633F" w:rsidRDefault="00C6633F">
          <w:pPr>
            <w:pStyle w:val="TOC1"/>
            <w:tabs>
              <w:tab w:val="right" w:leader="dot" w:pos="13948"/>
            </w:tabs>
            <w:rPr>
              <w:rFonts w:eastAsiaTheme="minorEastAsia"/>
              <w:noProof/>
              <w:lang w:eastAsia="en-ZA"/>
            </w:rPr>
          </w:pPr>
          <w:hyperlink w:anchor="_Toc229519666" w:history="1">
            <w:r w:rsidRPr="00C6633F">
              <w:rPr>
                <w:rStyle w:val="Hyperlink"/>
                <w:rFonts w:ascii="Gill Sans MT" w:hAnsi="Gill Sans MT"/>
                <w:noProof/>
              </w:rPr>
              <w:t>5. Question Complexity, Clinical Relevance and Blueprinting</w:t>
            </w:r>
            <w:r w:rsidRPr="00C6633F">
              <w:rPr>
                <w:noProof/>
                <w:webHidden/>
              </w:rPr>
              <w:tab/>
            </w:r>
            <w:r w:rsidRPr="00C6633F">
              <w:rPr>
                <w:noProof/>
                <w:webHidden/>
              </w:rPr>
              <w:fldChar w:fldCharType="begin"/>
            </w:r>
            <w:r w:rsidRPr="00C6633F">
              <w:rPr>
                <w:noProof/>
                <w:webHidden/>
              </w:rPr>
              <w:instrText xml:space="preserve"> PAGEREF _Toc229519666 \h </w:instrText>
            </w:r>
            <w:r w:rsidRPr="00C6633F">
              <w:rPr>
                <w:noProof/>
                <w:webHidden/>
              </w:rPr>
            </w:r>
            <w:r w:rsidRPr="00C6633F">
              <w:rPr>
                <w:noProof/>
                <w:webHidden/>
              </w:rPr>
              <w:fldChar w:fldCharType="separate"/>
            </w:r>
            <w:r w:rsidRPr="00C6633F">
              <w:rPr>
                <w:noProof/>
                <w:webHidden/>
              </w:rPr>
              <w:t>8</w:t>
            </w:r>
            <w:r w:rsidRPr="00C6633F">
              <w:rPr>
                <w:noProof/>
                <w:webHidden/>
              </w:rPr>
              <w:fldChar w:fldCharType="end"/>
            </w:r>
          </w:hyperlink>
        </w:p>
        <w:p w14:paraId="6612C225" w14:textId="271AFE33" w:rsidR="00C6633F" w:rsidRPr="00C6633F" w:rsidRDefault="00C6633F">
          <w:pPr>
            <w:pStyle w:val="TOC1"/>
            <w:tabs>
              <w:tab w:val="right" w:leader="dot" w:pos="13948"/>
            </w:tabs>
            <w:rPr>
              <w:rFonts w:eastAsiaTheme="minorEastAsia"/>
              <w:noProof/>
              <w:lang w:eastAsia="en-ZA"/>
            </w:rPr>
          </w:pPr>
          <w:hyperlink w:anchor="_Toc229519667" w:history="1">
            <w:r w:rsidRPr="00C6633F">
              <w:rPr>
                <w:rStyle w:val="Hyperlink"/>
                <w:rFonts w:ascii="Gill Sans MT" w:hAnsi="Gill Sans MT" w:cs="Arial"/>
                <w:noProof/>
              </w:rPr>
              <w:t>6. Timing Calibration for Computer-Based SAQs</w:t>
            </w:r>
            <w:r w:rsidRPr="00C6633F">
              <w:rPr>
                <w:noProof/>
                <w:webHidden/>
              </w:rPr>
              <w:tab/>
            </w:r>
            <w:r w:rsidRPr="00C6633F">
              <w:rPr>
                <w:noProof/>
                <w:webHidden/>
              </w:rPr>
              <w:fldChar w:fldCharType="begin"/>
            </w:r>
            <w:r w:rsidRPr="00C6633F">
              <w:rPr>
                <w:noProof/>
                <w:webHidden/>
              </w:rPr>
              <w:instrText xml:space="preserve"> PAGEREF _Toc229519667 \h </w:instrText>
            </w:r>
            <w:r w:rsidRPr="00C6633F">
              <w:rPr>
                <w:noProof/>
                <w:webHidden/>
              </w:rPr>
            </w:r>
            <w:r w:rsidRPr="00C6633F">
              <w:rPr>
                <w:noProof/>
                <w:webHidden/>
              </w:rPr>
              <w:fldChar w:fldCharType="separate"/>
            </w:r>
            <w:r w:rsidRPr="00C6633F">
              <w:rPr>
                <w:noProof/>
                <w:webHidden/>
              </w:rPr>
              <w:t>8</w:t>
            </w:r>
            <w:r w:rsidRPr="00C6633F">
              <w:rPr>
                <w:noProof/>
                <w:webHidden/>
              </w:rPr>
              <w:fldChar w:fldCharType="end"/>
            </w:r>
          </w:hyperlink>
        </w:p>
        <w:p w14:paraId="78AEE6C5" w14:textId="1A609C3A" w:rsidR="00C6633F" w:rsidRPr="00C6633F" w:rsidRDefault="00C6633F">
          <w:pPr>
            <w:pStyle w:val="TOC1"/>
            <w:tabs>
              <w:tab w:val="right" w:leader="dot" w:pos="13948"/>
            </w:tabs>
            <w:rPr>
              <w:rFonts w:eastAsiaTheme="minorEastAsia"/>
              <w:noProof/>
              <w:lang w:eastAsia="en-ZA"/>
            </w:rPr>
          </w:pPr>
          <w:hyperlink w:anchor="_Toc229519668" w:history="1">
            <w:r w:rsidRPr="00C6633F">
              <w:rPr>
                <w:rStyle w:val="Hyperlink"/>
                <w:rFonts w:ascii="Gill Sans MT" w:hAnsi="Gill Sans MT" w:cs="Arial"/>
                <w:noProof/>
              </w:rPr>
              <w:t>7. Mark Construction, Statistics and Post-Assessment Communication</w:t>
            </w:r>
            <w:r w:rsidRPr="00C6633F">
              <w:rPr>
                <w:noProof/>
                <w:webHidden/>
              </w:rPr>
              <w:tab/>
            </w:r>
            <w:r w:rsidRPr="00C6633F">
              <w:rPr>
                <w:noProof/>
                <w:webHidden/>
              </w:rPr>
              <w:fldChar w:fldCharType="begin"/>
            </w:r>
            <w:r w:rsidRPr="00C6633F">
              <w:rPr>
                <w:noProof/>
                <w:webHidden/>
              </w:rPr>
              <w:instrText xml:space="preserve"> PAGEREF _Toc229519668 \h </w:instrText>
            </w:r>
            <w:r w:rsidRPr="00C6633F">
              <w:rPr>
                <w:noProof/>
                <w:webHidden/>
              </w:rPr>
            </w:r>
            <w:r w:rsidRPr="00C6633F">
              <w:rPr>
                <w:noProof/>
                <w:webHidden/>
              </w:rPr>
              <w:fldChar w:fldCharType="separate"/>
            </w:r>
            <w:r w:rsidRPr="00C6633F">
              <w:rPr>
                <w:noProof/>
                <w:webHidden/>
              </w:rPr>
              <w:t>9</w:t>
            </w:r>
            <w:r w:rsidRPr="00C6633F">
              <w:rPr>
                <w:noProof/>
                <w:webHidden/>
              </w:rPr>
              <w:fldChar w:fldCharType="end"/>
            </w:r>
          </w:hyperlink>
        </w:p>
        <w:p w14:paraId="68D811E5" w14:textId="0E8E7C76" w:rsidR="00C6633F" w:rsidRPr="00C6633F" w:rsidRDefault="00C6633F">
          <w:pPr>
            <w:pStyle w:val="TOC1"/>
            <w:tabs>
              <w:tab w:val="right" w:leader="dot" w:pos="13948"/>
            </w:tabs>
            <w:rPr>
              <w:rFonts w:eastAsiaTheme="minorEastAsia"/>
              <w:noProof/>
              <w:lang w:eastAsia="en-ZA"/>
            </w:rPr>
          </w:pPr>
          <w:hyperlink w:anchor="_Toc229519669" w:history="1">
            <w:r w:rsidRPr="00C6633F">
              <w:rPr>
                <w:rStyle w:val="Hyperlink"/>
                <w:rFonts w:ascii="Gill Sans MT" w:hAnsi="Gill Sans MT"/>
                <w:noProof/>
              </w:rPr>
              <w:t>8. Assessment Weighting and Formative Opportunity</w:t>
            </w:r>
            <w:r w:rsidRPr="00C6633F">
              <w:rPr>
                <w:noProof/>
                <w:webHidden/>
              </w:rPr>
              <w:tab/>
            </w:r>
            <w:r w:rsidRPr="00C6633F">
              <w:rPr>
                <w:noProof/>
                <w:webHidden/>
              </w:rPr>
              <w:fldChar w:fldCharType="begin"/>
            </w:r>
            <w:r w:rsidRPr="00C6633F">
              <w:rPr>
                <w:noProof/>
                <w:webHidden/>
              </w:rPr>
              <w:instrText xml:space="preserve"> PAGEREF _Toc229519669 \h </w:instrText>
            </w:r>
            <w:r w:rsidRPr="00C6633F">
              <w:rPr>
                <w:noProof/>
                <w:webHidden/>
              </w:rPr>
            </w:r>
            <w:r w:rsidRPr="00C6633F">
              <w:rPr>
                <w:noProof/>
                <w:webHidden/>
              </w:rPr>
              <w:fldChar w:fldCharType="separate"/>
            </w:r>
            <w:r w:rsidRPr="00C6633F">
              <w:rPr>
                <w:noProof/>
                <w:webHidden/>
              </w:rPr>
              <w:t>10</w:t>
            </w:r>
            <w:r w:rsidRPr="00C6633F">
              <w:rPr>
                <w:noProof/>
                <w:webHidden/>
              </w:rPr>
              <w:fldChar w:fldCharType="end"/>
            </w:r>
          </w:hyperlink>
        </w:p>
        <w:p w14:paraId="4433619F" w14:textId="1D1AA09F" w:rsidR="00C6633F" w:rsidRPr="00C6633F" w:rsidRDefault="00C6633F">
          <w:pPr>
            <w:pStyle w:val="TOC1"/>
            <w:tabs>
              <w:tab w:val="right" w:leader="dot" w:pos="13948"/>
            </w:tabs>
            <w:rPr>
              <w:rFonts w:eastAsiaTheme="minorEastAsia"/>
              <w:noProof/>
              <w:lang w:eastAsia="en-ZA"/>
            </w:rPr>
          </w:pPr>
          <w:hyperlink w:anchor="_Toc229519670" w:history="1">
            <w:r w:rsidRPr="00C6633F">
              <w:rPr>
                <w:rStyle w:val="Hyperlink"/>
                <w:rFonts w:ascii="Gill Sans MT" w:hAnsi="Gill Sans MT" w:cs="Arial"/>
                <w:noProof/>
              </w:rPr>
              <w:t>9. A Minimum Viable MBChB Assessment Workflow</w:t>
            </w:r>
            <w:r w:rsidRPr="00C6633F">
              <w:rPr>
                <w:noProof/>
                <w:webHidden/>
              </w:rPr>
              <w:tab/>
            </w:r>
            <w:r w:rsidRPr="00C6633F">
              <w:rPr>
                <w:noProof/>
                <w:webHidden/>
              </w:rPr>
              <w:fldChar w:fldCharType="begin"/>
            </w:r>
            <w:r w:rsidRPr="00C6633F">
              <w:rPr>
                <w:noProof/>
                <w:webHidden/>
              </w:rPr>
              <w:instrText xml:space="preserve"> PAGEREF _Toc229519670 \h </w:instrText>
            </w:r>
            <w:r w:rsidRPr="00C6633F">
              <w:rPr>
                <w:noProof/>
                <w:webHidden/>
              </w:rPr>
            </w:r>
            <w:r w:rsidRPr="00C6633F">
              <w:rPr>
                <w:noProof/>
                <w:webHidden/>
              </w:rPr>
              <w:fldChar w:fldCharType="separate"/>
            </w:r>
            <w:r w:rsidRPr="00C6633F">
              <w:rPr>
                <w:noProof/>
                <w:webHidden/>
              </w:rPr>
              <w:t>10</w:t>
            </w:r>
            <w:r w:rsidRPr="00C6633F">
              <w:rPr>
                <w:noProof/>
                <w:webHidden/>
              </w:rPr>
              <w:fldChar w:fldCharType="end"/>
            </w:r>
          </w:hyperlink>
        </w:p>
        <w:p w14:paraId="0234EC07" w14:textId="4A68E769" w:rsidR="00C6633F" w:rsidRPr="00C6633F" w:rsidRDefault="00C6633F">
          <w:pPr>
            <w:pStyle w:val="TOC1"/>
            <w:tabs>
              <w:tab w:val="right" w:leader="dot" w:pos="13948"/>
            </w:tabs>
            <w:rPr>
              <w:rFonts w:eastAsiaTheme="minorEastAsia"/>
              <w:noProof/>
              <w:lang w:eastAsia="en-ZA"/>
            </w:rPr>
          </w:pPr>
          <w:hyperlink w:anchor="_Toc229519671" w:history="1">
            <w:r w:rsidRPr="00C6633F">
              <w:rPr>
                <w:rStyle w:val="Hyperlink"/>
                <w:rFonts w:ascii="Gill Sans MT" w:hAnsi="Gill Sans MT" w:cs="Arial"/>
                <w:noProof/>
              </w:rPr>
              <w:t>10. Summary Recommendations</w:t>
            </w:r>
            <w:r w:rsidRPr="00C6633F">
              <w:rPr>
                <w:noProof/>
                <w:webHidden/>
              </w:rPr>
              <w:tab/>
            </w:r>
            <w:r w:rsidRPr="00C6633F">
              <w:rPr>
                <w:noProof/>
                <w:webHidden/>
              </w:rPr>
              <w:fldChar w:fldCharType="begin"/>
            </w:r>
            <w:r w:rsidRPr="00C6633F">
              <w:rPr>
                <w:noProof/>
                <w:webHidden/>
              </w:rPr>
              <w:instrText xml:space="preserve"> PAGEREF _Toc229519671 \h </w:instrText>
            </w:r>
            <w:r w:rsidRPr="00C6633F">
              <w:rPr>
                <w:noProof/>
                <w:webHidden/>
              </w:rPr>
            </w:r>
            <w:r w:rsidRPr="00C6633F">
              <w:rPr>
                <w:noProof/>
                <w:webHidden/>
              </w:rPr>
              <w:fldChar w:fldCharType="separate"/>
            </w:r>
            <w:r w:rsidRPr="00C6633F">
              <w:rPr>
                <w:noProof/>
                <w:webHidden/>
              </w:rPr>
              <w:t>13</w:t>
            </w:r>
            <w:r w:rsidRPr="00C6633F">
              <w:rPr>
                <w:noProof/>
                <w:webHidden/>
              </w:rPr>
              <w:fldChar w:fldCharType="end"/>
            </w:r>
          </w:hyperlink>
        </w:p>
        <w:p w14:paraId="434F8529" w14:textId="6C4A41D1" w:rsidR="00C6633F" w:rsidRPr="00C6633F" w:rsidRDefault="00C6633F">
          <w:pPr>
            <w:pStyle w:val="TOC1"/>
            <w:tabs>
              <w:tab w:val="right" w:leader="dot" w:pos="13948"/>
            </w:tabs>
            <w:rPr>
              <w:rFonts w:eastAsiaTheme="minorEastAsia"/>
              <w:noProof/>
              <w:lang w:eastAsia="en-ZA"/>
            </w:rPr>
          </w:pPr>
          <w:hyperlink w:anchor="_Toc229519672" w:history="1">
            <w:r w:rsidRPr="00C6633F">
              <w:rPr>
                <w:rStyle w:val="Hyperlink"/>
                <w:rFonts w:ascii="Gill Sans MT" w:hAnsi="Gill Sans MT" w:cs="Arial"/>
                <w:noProof/>
              </w:rPr>
              <w:t>Closing Position</w:t>
            </w:r>
            <w:r w:rsidRPr="00C6633F">
              <w:rPr>
                <w:noProof/>
                <w:webHidden/>
              </w:rPr>
              <w:tab/>
            </w:r>
            <w:r w:rsidRPr="00C6633F">
              <w:rPr>
                <w:noProof/>
                <w:webHidden/>
              </w:rPr>
              <w:fldChar w:fldCharType="begin"/>
            </w:r>
            <w:r w:rsidRPr="00C6633F">
              <w:rPr>
                <w:noProof/>
                <w:webHidden/>
              </w:rPr>
              <w:instrText xml:space="preserve"> PAGEREF _Toc229519672 \h </w:instrText>
            </w:r>
            <w:r w:rsidRPr="00C6633F">
              <w:rPr>
                <w:noProof/>
                <w:webHidden/>
              </w:rPr>
            </w:r>
            <w:r w:rsidRPr="00C6633F">
              <w:rPr>
                <w:noProof/>
                <w:webHidden/>
              </w:rPr>
              <w:fldChar w:fldCharType="separate"/>
            </w:r>
            <w:r w:rsidRPr="00C6633F">
              <w:rPr>
                <w:noProof/>
                <w:webHidden/>
              </w:rPr>
              <w:t>15</w:t>
            </w:r>
            <w:r w:rsidRPr="00C6633F">
              <w:rPr>
                <w:noProof/>
                <w:webHidden/>
              </w:rPr>
              <w:fldChar w:fldCharType="end"/>
            </w:r>
          </w:hyperlink>
        </w:p>
        <w:p w14:paraId="5CB44DB6" w14:textId="64E99F03" w:rsidR="00C6633F" w:rsidRPr="00C6633F" w:rsidRDefault="00C6633F">
          <w:pPr>
            <w:pStyle w:val="TOC1"/>
            <w:tabs>
              <w:tab w:val="right" w:leader="dot" w:pos="13948"/>
            </w:tabs>
            <w:rPr>
              <w:rFonts w:eastAsiaTheme="minorEastAsia"/>
              <w:noProof/>
              <w:lang w:eastAsia="en-ZA"/>
            </w:rPr>
          </w:pPr>
          <w:hyperlink w:anchor="_Toc229519673" w:history="1">
            <w:r w:rsidRPr="00C6633F">
              <w:rPr>
                <w:rStyle w:val="Hyperlink"/>
                <w:rFonts w:ascii="Gill Sans MT" w:hAnsi="Gill Sans MT" w:cs="Arial"/>
                <w:noProof/>
              </w:rPr>
              <w:t>REFERENCES</w:t>
            </w:r>
            <w:r w:rsidRPr="00C6633F">
              <w:rPr>
                <w:noProof/>
                <w:webHidden/>
              </w:rPr>
              <w:tab/>
            </w:r>
            <w:r w:rsidRPr="00C6633F">
              <w:rPr>
                <w:noProof/>
                <w:webHidden/>
              </w:rPr>
              <w:fldChar w:fldCharType="begin"/>
            </w:r>
            <w:r w:rsidRPr="00C6633F">
              <w:rPr>
                <w:noProof/>
                <w:webHidden/>
              </w:rPr>
              <w:instrText xml:space="preserve"> PAGEREF _Toc229519673 \h </w:instrText>
            </w:r>
            <w:r w:rsidRPr="00C6633F">
              <w:rPr>
                <w:noProof/>
                <w:webHidden/>
              </w:rPr>
            </w:r>
            <w:r w:rsidRPr="00C6633F">
              <w:rPr>
                <w:noProof/>
                <w:webHidden/>
              </w:rPr>
              <w:fldChar w:fldCharType="separate"/>
            </w:r>
            <w:r w:rsidRPr="00C6633F">
              <w:rPr>
                <w:noProof/>
                <w:webHidden/>
              </w:rPr>
              <w:t>16</w:t>
            </w:r>
            <w:r w:rsidRPr="00C6633F">
              <w:rPr>
                <w:noProof/>
                <w:webHidden/>
              </w:rPr>
              <w:fldChar w:fldCharType="end"/>
            </w:r>
          </w:hyperlink>
        </w:p>
        <w:p w14:paraId="0C162B78" w14:textId="3F62EC08" w:rsidR="00C6633F" w:rsidRPr="00C6633F" w:rsidRDefault="00C6633F">
          <w:pPr>
            <w:pStyle w:val="TOC1"/>
            <w:tabs>
              <w:tab w:val="right" w:leader="dot" w:pos="13948"/>
            </w:tabs>
            <w:rPr>
              <w:rFonts w:eastAsiaTheme="minorEastAsia"/>
              <w:noProof/>
              <w:lang w:eastAsia="en-ZA"/>
            </w:rPr>
          </w:pPr>
          <w:hyperlink w:anchor="_Toc229519674" w:history="1">
            <w:r w:rsidRPr="00C6633F">
              <w:rPr>
                <w:rStyle w:val="Hyperlink"/>
                <w:rFonts w:ascii="Gill Sans MT" w:hAnsi="Gill Sans MT" w:cs="Arial"/>
                <w:noProof/>
              </w:rPr>
              <w:t>APPENDICES</w:t>
            </w:r>
            <w:r w:rsidRPr="00C6633F">
              <w:rPr>
                <w:noProof/>
                <w:webHidden/>
              </w:rPr>
              <w:tab/>
            </w:r>
            <w:r w:rsidRPr="00C6633F">
              <w:rPr>
                <w:noProof/>
                <w:webHidden/>
              </w:rPr>
              <w:fldChar w:fldCharType="begin"/>
            </w:r>
            <w:r w:rsidRPr="00C6633F">
              <w:rPr>
                <w:noProof/>
                <w:webHidden/>
              </w:rPr>
              <w:instrText xml:space="preserve"> PAGEREF _Toc229519674 \h </w:instrText>
            </w:r>
            <w:r w:rsidRPr="00C6633F">
              <w:rPr>
                <w:noProof/>
                <w:webHidden/>
              </w:rPr>
            </w:r>
            <w:r w:rsidRPr="00C6633F">
              <w:rPr>
                <w:noProof/>
                <w:webHidden/>
              </w:rPr>
              <w:fldChar w:fldCharType="separate"/>
            </w:r>
            <w:r w:rsidRPr="00C6633F">
              <w:rPr>
                <w:noProof/>
                <w:webHidden/>
              </w:rPr>
              <w:t>17</w:t>
            </w:r>
            <w:r w:rsidRPr="00C6633F">
              <w:rPr>
                <w:noProof/>
                <w:webHidden/>
              </w:rPr>
              <w:fldChar w:fldCharType="end"/>
            </w:r>
          </w:hyperlink>
        </w:p>
        <w:p w14:paraId="498E40BB" w14:textId="6294BFDB" w:rsidR="00C6633F" w:rsidRPr="00C6633F" w:rsidRDefault="00C6633F">
          <w:pPr>
            <w:pStyle w:val="TOC2"/>
            <w:tabs>
              <w:tab w:val="right" w:leader="dot" w:pos="13948"/>
            </w:tabs>
            <w:rPr>
              <w:rFonts w:eastAsiaTheme="minorEastAsia"/>
              <w:noProof/>
              <w:lang w:eastAsia="en-ZA"/>
            </w:rPr>
          </w:pPr>
          <w:hyperlink w:anchor="_Toc229519675" w:history="1">
            <w:r w:rsidRPr="00C6633F">
              <w:rPr>
                <w:rStyle w:val="Hyperlink"/>
                <w:rFonts w:ascii="Gill Sans MT" w:hAnsi="Gill Sans MT" w:cs="Arial"/>
                <w:noProof/>
              </w:rPr>
              <w:t>Appendix A: Digital SAQ Design Checklist</w:t>
            </w:r>
            <w:r w:rsidRPr="00C6633F">
              <w:rPr>
                <w:noProof/>
                <w:webHidden/>
              </w:rPr>
              <w:tab/>
            </w:r>
            <w:r w:rsidRPr="00C6633F">
              <w:rPr>
                <w:noProof/>
                <w:webHidden/>
              </w:rPr>
              <w:fldChar w:fldCharType="begin"/>
            </w:r>
            <w:r w:rsidRPr="00C6633F">
              <w:rPr>
                <w:noProof/>
                <w:webHidden/>
              </w:rPr>
              <w:instrText xml:space="preserve"> PAGEREF _Toc229519675 \h </w:instrText>
            </w:r>
            <w:r w:rsidRPr="00C6633F">
              <w:rPr>
                <w:noProof/>
                <w:webHidden/>
              </w:rPr>
            </w:r>
            <w:r w:rsidRPr="00C6633F">
              <w:rPr>
                <w:noProof/>
                <w:webHidden/>
              </w:rPr>
              <w:fldChar w:fldCharType="separate"/>
            </w:r>
            <w:r w:rsidRPr="00C6633F">
              <w:rPr>
                <w:noProof/>
                <w:webHidden/>
              </w:rPr>
              <w:t>17</w:t>
            </w:r>
            <w:r w:rsidRPr="00C6633F">
              <w:rPr>
                <w:noProof/>
                <w:webHidden/>
              </w:rPr>
              <w:fldChar w:fldCharType="end"/>
            </w:r>
          </w:hyperlink>
        </w:p>
        <w:p w14:paraId="7156313A" w14:textId="7C1E627F" w:rsidR="00C6633F" w:rsidRPr="00C6633F" w:rsidRDefault="00C6633F">
          <w:pPr>
            <w:pStyle w:val="TOC2"/>
            <w:tabs>
              <w:tab w:val="right" w:leader="dot" w:pos="13948"/>
            </w:tabs>
            <w:rPr>
              <w:rFonts w:eastAsiaTheme="minorEastAsia"/>
              <w:noProof/>
              <w:lang w:eastAsia="en-ZA"/>
            </w:rPr>
          </w:pPr>
          <w:hyperlink w:anchor="_Toc229519676" w:history="1">
            <w:r w:rsidRPr="00C6633F">
              <w:rPr>
                <w:rStyle w:val="Hyperlink"/>
                <w:rFonts w:ascii="Gill Sans MT" w:hAnsi="Gill Sans MT" w:cs="Arial"/>
                <w:noProof/>
              </w:rPr>
              <w:t>Appendix B: SAQ Complexity and Timing Review Matrix</w:t>
            </w:r>
            <w:r w:rsidRPr="00C6633F">
              <w:rPr>
                <w:noProof/>
                <w:webHidden/>
              </w:rPr>
              <w:tab/>
            </w:r>
            <w:r w:rsidRPr="00C6633F">
              <w:rPr>
                <w:noProof/>
                <w:webHidden/>
              </w:rPr>
              <w:fldChar w:fldCharType="begin"/>
            </w:r>
            <w:r w:rsidRPr="00C6633F">
              <w:rPr>
                <w:noProof/>
                <w:webHidden/>
              </w:rPr>
              <w:instrText xml:space="preserve"> PAGEREF _Toc229519676 \h </w:instrText>
            </w:r>
            <w:r w:rsidRPr="00C6633F">
              <w:rPr>
                <w:noProof/>
                <w:webHidden/>
              </w:rPr>
            </w:r>
            <w:r w:rsidRPr="00C6633F">
              <w:rPr>
                <w:noProof/>
                <w:webHidden/>
              </w:rPr>
              <w:fldChar w:fldCharType="separate"/>
            </w:r>
            <w:r w:rsidRPr="00C6633F">
              <w:rPr>
                <w:noProof/>
                <w:webHidden/>
              </w:rPr>
              <w:t>19</w:t>
            </w:r>
            <w:r w:rsidRPr="00C6633F">
              <w:rPr>
                <w:noProof/>
                <w:webHidden/>
              </w:rPr>
              <w:fldChar w:fldCharType="end"/>
            </w:r>
          </w:hyperlink>
        </w:p>
        <w:p w14:paraId="12AB8279" w14:textId="381EA9F9" w:rsidR="00C6633F" w:rsidRPr="00C6633F" w:rsidRDefault="00C6633F">
          <w:pPr>
            <w:pStyle w:val="TOC2"/>
            <w:tabs>
              <w:tab w:val="right" w:leader="dot" w:pos="13948"/>
            </w:tabs>
            <w:rPr>
              <w:rFonts w:eastAsiaTheme="minorEastAsia"/>
              <w:noProof/>
              <w:lang w:eastAsia="en-ZA"/>
            </w:rPr>
          </w:pPr>
          <w:hyperlink w:anchor="_Toc229519677" w:history="1">
            <w:r w:rsidRPr="00C6633F">
              <w:rPr>
                <w:rStyle w:val="Hyperlink"/>
                <w:rFonts w:ascii="Gill Sans MT" w:hAnsi="Gill Sans MT" w:cs="Arial"/>
                <w:noProof/>
              </w:rPr>
              <w:t>Appendix C: Suggested Student-Facing Post-Assessment Information Set</w:t>
            </w:r>
            <w:r w:rsidRPr="00C6633F">
              <w:rPr>
                <w:noProof/>
                <w:webHidden/>
              </w:rPr>
              <w:tab/>
            </w:r>
            <w:r w:rsidRPr="00C6633F">
              <w:rPr>
                <w:noProof/>
                <w:webHidden/>
              </w:rPr>
              <w:fldChar w:fldCharType="begin"/>
            </w:r>
            <w:r w:rsidRPr="00C6633F">
              <w:rPr>
                <w:noProof/>
                <w:webHidden/>
              </w:rPr>
              <w:instrText xml:space="preserve"> PAGEREF _Toc229519677 \h </w:instrText>
            </w:r>
            <w:r w:rsidRPr="00C6633F">
              <w:rPr>
                <w:noProof/>
                <w:webHidden/>
              </w:rPr>
            </w:r>
            <w:r w:rsidRPr="00C6633F">
              <w:rPr>
                <w:noProof/>
                <w:webHidden/>
              </w:rPr>
              <w:fldChar w:fldCharType="separate"/>
            </w:r>
            <w:r w:rsidRPr="00C6633F">
              <w:rPr>
                <w:noProof/>
                <w:webHidden/>
              </w:rPr>
              <w:t>21</w:t>
            </w:r>
            <w:r w:rsidRPr="00C6633F">
              <w:rPr>
                <w:noProof/>
                <w:webHidden/>
              </w:rPr>
              <w:fldChar w:fldCharType="end"/>
            </w:r>
          </w:hyperlink>
        </w:p>
        <w:p w14:paraId="58B90DEF" w14:textId="36C45B09" w:rsidR="00C6633F" w:rsidRPr="00C6633F" w:rsidRDefault="00C6633F">
          <w:pPr>
            <w:pStyle w:val="TOC2"/>
            <w:tabs>
              <w:tab w:val="right" w:leader="dot" w:pos="13948"/>
            </w:tabs>
            <w:rPr>
              <w:rFonts w:eastAsiaTheme="minorEastAsia"/>
              <w:noProof/>
              <w:lang w:eastAsia="en-ZA"/>
            </w:rPr>
          </w:pPr>
          <w:hyperlink w:anchor="_Toc229519678" w:history="1">
            <w:r w:rsidRPr="00C6633F">
              <w:rPr>
                <w:rStyle w:val="Hyperlink"/>
                <w:rFonts w:ascii="Gill Sans MT" w:hAnsi="Gill Sans MT" w:cs="Arial"/>
                <w:noProof/>
              </w:rPr>
              <w:t>Appendix D: Minimum Viable MBChB Assessment Workflow</w:t>
            </w:r>
            <w:r w:rsidRPr="00C6633F">
              <w:rPr>
                <w:noProof/>
                <w:webHidden/>
              </w:rPr>
              <w:tab/>
            </w:r>
            <w:r w:rsidRPr="00C6633F">
              <w:rPr>
                <w:noProof/>
                <w:webHidden/>
              </w:rPr>
              <w:fldChar w:fldCharType="begin"/>
            </w:r>
            <w:r w:rsidRPr="00C6633F">
              <w:rPr>
                <w:noProof/>
                <w:webHidden/>
              </w:rPr>
              <w:instrText xml:space="preserve"> PAGEREF _Toc229519678 \h </w:instrText>
            </w:r>
            <w:r w:rsidRPr="00C6633F">
              <w:rPr>
                <w:noProof/>
                <w:webHidden/>
              </w:rPr>
            </w:r>
            <w:r w:rsidRPr="00C6633F">
              <w:rPr>
                <w:noProof/>
                <w:webHidden/>
              </w:rPr>
              <w:fldChar w:fldCharType="separate"/>
            </w:r>
            <w:r w:rsidRPr="00C6633F">
              <w:rPr>
                <w:noProof/>
                <w:webHidden/>
              </w:rPr>
              <w:t>24</w:t>
            </w:r>
            <w:r w:rsidRPr="00C6633F">
              <w:rPr>
                <w:noProof/>
                <w:webHidden/>
              </w:rPr>
              <w:fldChar w:fldCharType="end"/>
            </w:r>
          </w:hyperlink>
        </w:p>
        <w:p w14:paraId="07D2DA47" w14:textId="77777777" w:rsidR="00C6633F" w:rsidRDefault="005F4A6C" w:rsidP="00C6633F">
          <w:pPr>
            <w:rPr>
              <w:b/>
              <w:bCs/>
              <w:noProof/>
            </w:rPr>
          </w:pPr>
          <w:r>
            <w:rPr>
              <w:b/>
              <w:bCs/>
              <w:noProof/>
            </w:rPr>
            <w:fldChar w:fldCharType="end"/>
          </w:r>
        </w:p>
      </w:sdtContent>
    </w:sdt>
    <w:bookmarkStart w:id="0" w:name="_Toc229519661" w:displacedByCustomXml="prev"/>
    <w:p w14:paraId="517E22E6" w14:textId="3AAC8764" w:rsidR="00541D2B" w:rsidRPr="0002408C" w:rsidRDefault="00541D2B" w:rsidP="00C6633F">
      <w:pPr>
        <w:rPr>
          <w:rFonts w:ascii="Gill Sans MT" w:hAnsi="Gill Sans MT"/>
          <w:color w:val="002060"/>
          <w:sz w:val="40"/>
          <w:szCs w:val="40"/>
        </w:rPr>
      </w:pPr>
      <w:r w:rsidRPr="0002408C">
        <w:rPr>
          <w:rFonts w:ascii="Gill Sans MT" w:hAnsi="Gill Sans MT" w:cs="Arial"/>
          <w:b/>
          <w:bCs/>
          <w:color w:val="002060"/>
          <w:sz w:val="40"/>
          <w:szCs w:val="40"/>
        </w:rPr>
        <w:lastRenderedPageBreak/>
        <w:t>Executive Summary</w:t>
      </w:r>
      <w:bookmarkEnd w:id="0"/>
    </w:p>
    <w:p w14:paraId="30E839D8" w14:textId="77777777" w:rsidR="00330C87" w:rsidRPr="00330C87" w:rsidRDefault="00330C87" w:rsidP="00330C87">
      <w:pPr>
        <w:tabs>
          <w:tab w:val="left" w:pos="1337"/>
        </w:tabs>
        <w:jc w:val="both"/>
        <w:rPr>
          <w:rFonts w:ascii="Arial" w:hAnsi="Arial" w:cs="Arial"/>
          <w:sz w:val="22"/>
          <w:szCs w:val="22"/>
        </w:rPr>
      </w:pPr>
      <w:r w:rsidRPr="00330C87">
        <w:rPr>
          <w:rFonts w:ascii="Arial" w:hAnsi="Arial" w:cs="Arial"/>
          <w:sz w:val="22"/>
          <w:szCs w:val="22"/>
        </w:rPr>
        <w:t>The recent transition in the Year 3 Integrated Health Systems (IHS) course, involving the Department of Pathology’s move to computer-based short-answer question (SAQ) assessment, has raised concerns that extend beyond one assessment sitting. Following the release of Assessment 1 marks, Year 3 class representatives raised questions about component marks, access to scripts or feedback, cohort-level statistics, and how the new computer-based format affected assessment experience and mark interpretation. This memorandum does not seek to adjudicate those specific concerns, which remain appropriately situated in the direct engagement between class representatives and the course team. Rather, it uses this transition as a case study for programme-level reflection on how assessment modality changes are introduced, supported, reviewed and communicated across the MBChB curriculum.</w:t>
      </w:r>
    </w:p>
    <w:p w14:paraId="57FFE045" w14:textId="77777777" w:rsidR="00330C87" w:rsidRPr="00330C87" w:rsidRDefault="00330C87" w:rsidP="00330C87">
      <w:pPr>
        <w:tabs>
          <w:tab w:val="left" w:pos="1337"/>
        </w:tabs>
        <w:jc w:val="both"/>
        <w:rPr>
          <w:rFonts w:ascii="Arial" w:hAnsi="Arial" w:cs="Arial"/>
          <w:sz w:val="22"/>
          <w:szCs w:val="22"/>
        </w:rPr>
      </w:pPr>
      <w:r w:rsidRPr="00330C87">
        <w:rPr>
          <w:rFonts w:ascii="Arial" w:hAnsi="Arial" w:cs="Arial"/>
          <w:sz w:val="22"/>
          <w:szCs w:val="22"/>
        </w:rPr>
        <w:t xml:space="preserve">The Student Curriculum Lekgotla </w:t>
      </w:r>
      <w:r w:rsidRPr="0051594D">
        <w:rPr>
          <w:rFonts w:ascii="Arial" w:hAnsi="Arial" w:cs="Arial"/>
          <w:i/>
          <w:iCs/>
          <w:sz w:val="22"/>
          <w:szCs w:val="22"/>
        </w:rPr>
        <w:t xml:space="preserve">supports </w:t>
      </w:r>
      <w:r w:rsidRPr="00330C87">
        <w:rPr>
          <w:rFonts w:ascii="Arial" w:hAnsi="Arial" w:cs="Arial"/>
          <w:sz w:val="22"/>
          <w:szCs w:val="22"/>
        </w:rPr>
        <w:t>the move toward computer-based assessment. Digital assessment can improve administrative feasibility, marking workflows, data capture, moderation, standardisation, assessment security, sustainability and the practical management of large integrated courses. In this sense, the question is not whether the programme should return to paper as the default. Rather, the question is how digital and hybrid assessment formats can be introduced in ways that are educationally sound, technically reliable, fair to students, and feasible for course teams.</w:t>
      </w:r>
    </w:p>
    <w:p w14:paraId="050E39EE" w14:textId="77777777" w:rsidR="00330C87" w:rsidRPr="00330C87" w:rsidRDefault="00330C87" w:rsidP="00330C87">
      <w:pPr>
        <w:tabs>
          <w:tab w:val="left" w:pos="1337"/>
        </w:tabs>
        <w:jc w:val="both"/>
        <w:rPr>
          <w:rFonts w:ascii="Arial" w:hAnsi="Arial" w:cs="Arial"/>
          <w:sz w:val="22"/>
          <w:szCs w:val="22"/>
        </w:rPr>
      </w:pPr>
      <w:r w:rsidRPr="00330C87">
        <w:rPr>
          <w:rFonts w:ascii="Arial" w:hAnsi="Arial" w:cs="Arial"/>
          <w:sz w:val="22"/>
          <w:szCs w:val="22"/>
        </w:rPr>
        <w:t>This memorandum therefore uses the Year 3 IHS transition as a constructive case study. It does not seek to adjudicate individual questions, marks or moderation decisions. Instead, it identifies what this transition has made visible and proposes areas where the MBChB programme may benefit from shared decisions, common minimum expectations and adaptable tools.</w:t>
      </w:r>
    </w:p>
    <w:p w14:paraId="0DD112DD" w14:textId="77777777" w:rsidR="00330C87" w:rsidRPr="00330C87" w:rsidRDefault="00330C87" w:rsidP="00330C87">
      <w:pPr>
        <w:tabs>
          <w:tab w:val="left" w:pos="1337"/>
        </w:tabs>
        <w:jc w:val="both"/>
        <w:rPr>
          <w:rFonts w:ascii="Arial" w:hAnsi="Arial" w:cs="Arial"/>
          <w:sz w:val="22"/>
          <w:szCs w:val="22"/>
        </w:rPr>
      </w:pPr>
      <w:r w:rsidRPr="00330C87">
        <w:rPr>
          <w:rFonts w:ascii="Arial" w:hAnsi="Arial" w:cs="Arial"/>
          <w:sz w:val="22"/>
          <w:szCs w:val="22"/>
        </w:rPr>
        <w:t>The core proposal is that the MBChB programme develops a shared assessment workflow for major summative assessments. The goal is not rigid uniformity. It is standardisation where appropriate and justified variation where necessary: clear enough for students to know what to expect, flexible enough for courses and disciplines to adapt to their context, and robust enough to support defensible assessment practice across the programme.</w:t>
      </w:r>
    </w:p>
    <w:p w14:paraId="2897337D" w14:textId="77777777" w:rsidR="00D300A3" w:rsidRDefault="00184AE3" w:rsidP="00D300A3">
      <w:pPr>
        <w:tabs>
          <w:tab w:val="left" w:pos="1337"/>
        </w:tabs>
        <w:jc w:val="both"/>
        <w:rPr>
          <w:rFonts w:ascii="Arial" w:hAnsi="Arial" w:cs="Arial"/>
          <w:b/>
          <w:bCs/>
          <w:sz w:val="22"/>
          <w:szCs w:val="22"/>
        </w:rPr>
      </w:pPr>
      <w:r w:rsidRPr="00184AE3">
        <w:rPr>
          <w:rFonts w:ascii="Arial" w:hAnsi="Arial" w:cs="Arial"/>
          <w:b/>
          <w:bCs/>
          <w:sz w:val="22"/>
          <w:szCs w:val="22"/>
        </w:rPr>
        <w:t>Decision requested:</w:t>
      </w:r>
    </w:p>
    <w:p w14:paraId="7ED776A4" w14:textId="09CA4C72" w:rsidR="0051594D" w:rsidRPr="00D86869" w:rsidRDefault="0051594D" w:rsidP="00D300A3">
      <w:pPr>
        <w:tabs>
          <w:tab w:val="left" w:pos="1337"/>
        </w:tabs>
        <w:jc w:val="both"/>
        <w:rPr>
          <w:rFonts w:ascii="Arial" w:hAnsi="Arial" w:cs="Arial"/>
          <w:i/>
          <w:iCs/>
          <w:color w:val="595959" w:themeColor="text1" w:themeTint="A6"/>
          <w:sz w:val="22"/>
          <w:szCs w:val="22"/>
        </w:rPr>
      </w:pPr>
      <w:r w:rsidRPr="0051594D">
        <w:rPr>
          <w:rFonts w:ascii="Arial" w:hAnsi="Arial" w:cs="Arial"/>
          <w:i/>
          <w:iCs/>
          <w:color w:val="595959" w:themeColor="text1" w:themeTint="A6"/>
          <w:sz w:val="22"/>
          <w:szCs w:val="22"/>
        </w:rPr>
        <w:t>That the MBChB Executive Committee, course convenors and relevant assessment leads consider developing shared programme-level guidance for major summative assessments, including assessment modality, student preparation, digital SAQ design, timing calibration, mark construction, cohort-level statistics, feedback and review pathways, and post-assessment communication</w:t>
      </w:r>
    </w:p>
    <w:p w14:paraId="5F8ED56F" w14:textId="51799F60" w:rsidR="00541D2B" w:rsidRPr="00594A2B" w:rsidRDefault="0051594D" w:rsidP="00541D2B">
      <w:pPr>
        <w:tabs>
          <w:tab w:val="left" w:pos="1337"/>
        </w:tabs>
        <w:rPr>
          <w:rFonts w:ascii="Arial" w:hAnsi="Arial" w:cs="Arial"/>
          <w:b/>
          <w:bCs/>
          <w:sz w:val="22"/>
          <w:szCs w:val="22"/>
        </w:rPr>
      </w:pPr>
      <w:r>
        <w:rPr>
          <w:rFonts w:ascii="Arial" w:hAnsi="Arial" w:cs="Arial"/>
          <w:b/>
          <w:bCs/>
          <w:sz w:val="22"/>
          <w:szCs w:val="22"/>
        </w:rPr>
        <w:t>Key Messages</w:t>
      </w:r>
    </w:p>
    <w:p w14:paraId="059EE63C" w14:textId="77777777" w:rsidR="00541D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lastRenderedPageBreak/>
        <w:t>The Year 3 IHS transition surfaced three distinct issues: format-related concerns, assessment-design concerns and post-assessment transparency concerns. These require different responses.</w:t>
      </w:r>
    </w:p>
    <w:p w14:paraId="3BF33648" w14:textId="77777777" w:rsidR="00541D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t>Typed SAQs should not appear suddenly in one high-stakes integrated assessment. If they are appropriate for the programme, students should encounter them earlier through BP/BHP, Human Biology, early IHS and other lower-stakes written assessment opportunities.</w:t>
      </w:r>
    </w:p>
    <w:p w14:paraId="7C76419E" w14:textId="77777777" w:rsidR="00541D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t>Digital SAQ design must consider how students use clinical and scientific source material. Vignette visibility, image legibility, navigation, timing, scrap paper and hybrid source packs are assessment-design issues, not cosmetic preferences.</w:t>
      </w:r>
    </w:p>
    <w:p w14:paraId="5FC045F4" w14:textId="77777777" w:rsidR="00541D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t>Question review should include content difficulty, clinical-context difficulty, stimulus difficulty, cognitive-process difficulty, response-production difficulty, digital-workflow difficulty and clinical relevance.</w:t>
      </w:r>
    </w:p>
    <w:p w14:paraId="6E488FB5" w14:textId="77777777" w:rsidR="00541D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t>Timing should not be calibrated by marks alone. Reading time, stimulus interpretation, reasoning, typing, navigation and review time all shape how long typed SAQs realistically take.</w:t>
      </w:r>
    </w:p>
    <w:p w14:paraId="70BE0C6F" w14:textId="77777777" w:rsidR="00541D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t>Students do not need confidential assessment materials, but they do need enough information to interpret their performance: component marks where feasible, final mark construction, cohort statistics, moderation or standard-setting information where relevant, and a feedback or script-review pathway.</w:t>
      </w:r>
    </w:p>
    <w:p w14:paraId="3047A31D" w14:textId="56FE6C42" w:rsidR="00594A2B" w:rsidRPr="00594A2B" w:rsidRDefault="00541D2B">
      <w:pPr>
        <w:numPr>
          <w:ilvl w:val="0"/>
          <w:numId w:val="1"/>
        </w:numPr>
        <w:tabs>
          <w:tab w:val="left" w:pos="1337"/>
        </w:tabs>
        <w:rPr>
          <w:rFonts w:ascii="Arial" w:hAnsi="Arial" w:cs="Arial"/>
          <w:sz w:val="22"/>
          <w:szCs w:val="22"/>
        </w:rPr>
      </w:pPr>
      <w:r w:rsidRPr="00594A2B">
        <w:rPr>
          <w:rFonts w:ascii="Arial" w:hAnsi="Arial" w:cs="Arial"/>
          <w:sz w:val="22"/>
          <w:szCs w:val="22"/>
        </w:rPr>
        <w:t>A shared MBChB assessment workflow would help courses plan, deliver, review and communicate assessments more consistently while preserving course-level flexibility.</w:t>
      </w:r>
    </w:p>
    <w:p w14:paraId="05B5A09F" w14:textId="77777777" w:rsidR="00541D2B" w:rsidRPr="004050D9" w:rsidRDefault="00541D2B" w:rsidP="00D75CA1">
      <w:pPr>
        <w:pStyle w:val="Heading1"/>
        <w:rPr>
          <w:rFonts w:ascii="Gill Sans MT" w:hAnsi="Gill Sans MT"/>
          <w:b/>
          <w:bCs/>
        </w:rPr>
      </w:pPr>
      <w:bookmarkStart w:id="1" w:name="_Toc229519662"/>
      <w:r w:rsidRPr="004050D9">
        <w:rPr>
          <w:rFonts w:ascii="Gill Sans MT" w:hAnsi="Gill Sans MT"/>
          <w:b/>
          <w:bCs/>
        </w:rPr>
        <w:t xml:space="preserve">1. </w:t>
      </w:r>
      <w:r w:rsidRPr="0002408C">
        <w:rPr>
          <w:rFonts w:ascii="Gill Sans MT" w:hAnsi="Gill Sans MT"/>
          <w:b/>
          <w:bCs/>
          <w:color w:val="002060"/>
        </w:rPr>
        <w:t>Purpose and Positioning</w:t>
      </w:r>
      <w:bookmarkEnd w:id="1"/>
    </w:p>
    <w:p w14:paraId="454B1259" w14:textId="1FE9A59B" w:rsidR="00053C92" w:rsidRDefault="00053C92" w:rsidP="00742B98">
      <w:pPr>
        <w:tabs>
          <w:tab w:val="left" w:pos="1337"/>
        </w:tabs>
        <w:jc w:val="both"/>
        <w:rPr>
          <w:rFonts w:ascii="Arial" w:hAnsi="Arial" w:cs="Arial"/>
          <w:sz w:val="22"/>
          <w:szCs w:val="22"/>
        </w:rPr>
      </w:pPr>
      <w:r w:rsidRPr="00053C92">
        <w:rPr>
          <w:rFonts w:ascii="Arial" w:hAnsi="Arial" w:cs="Arial"/>
          <w:sz w:val="22"/>
          <w:szCs w:val="22"/>
        </w:rPr>
        <w:t>This memorandum has been prepared by the Student Curriculum Lekgotla following concerns raised during the recent Year 3 Integrated Health Systems (IHS) assessment transition. In this course, the Department of Pathology introduced computer-based short-answer question (SAQ) assessment, and Year 3 class representatives subsequently engaged the course team regarding issues such as SAQ and multiple-choice question (MCQ) component marks, access to scripts or feedback, cohort-level statistics, moderation or standard-setting communication, and the student experience of the new assessment format.</w:t>
      </w:r>
    </w:p>
    <w:p w14:paraId="1CD84CBF" w14:textId="5DCE1010" w:rsidR="00742B98" w:rsidRPr="00742B98" w:rsidRDefault="00742B98" w:rsidP="00742B98">
      <w:pPr>
        <w:tabs>
          <w:tab w:val="left" w:pos="1337"/>
        </w:tabs>
        <w:jc w:val="both"/>
        <w:rPr>
          <w:rFonts w:ascii="Arial" w:hAnsi="Arial" w:cs="Arial"/>
          <w:sz w:val="22"/>
          <w:szCs w:val="22"/>
        </w:rPr>
      </w:pPr>
      <w:r w:rsidRPr="00742B98">
        <w:rPr>
          <w:rFonts w:ascii="Arial" w:hAnsi="Arial" w:cs="Arial"/>
          <w:sz w:val="22"/>
          <w:szCs w:val="22"/>
        </w:rPr>
        <w:t>The immediate student concerns require direct course-level engagement between the elected class representatives and the IHS course team. That engagement should continue. This memorandum does not seek to adjudicate individual questions, marks, moderation decisions or the specific course-level issues currently under discussion.</w:t>
      </w:r>
    </w:p>
    <w:p w14:paraId="3104EC64" w14:textId="77777777" w:rsidR="00742B98" w:rsidRPr="00742B98" w:rsidRDefault="00742B98" w:rsidP="00742B98">
      <w:pPr>
        <w:tabs>
          <w:tab w:val="left" w:pos="1337"/>
        </w:tabs>
        <w:jc w:val="both"/>
        <w:rPr>
          <w:rFonts w:ascii="Arial" w:hAnsi="Arial" w:cs="Arial"/>
          <w:sz w:val="22"/>
          <w:szCs w:val="22"/>
        </w:rPr>
      </w:pPr>
      <w:r w:rsidRPr="00742B98">
        <w:rPr>
          <w:rFonts w:ascii="Arial" w:hAnsi="Arial" w:cs="Arial"/>
          <w:sz w:val="22"/>
          <w:szCs w:val="22"/>
        </w:rPr>
        <w:lastRenderedPageBreak/>
        <w:t>SCL’s contribution is different. We use this moment as a case study to consider broader questions of assessment modality, student preparation, digital SAQ design, assessment weighting, quality review, standard setting, feedback, and post-assessment communication across the MBChB programme. The purpose is to support clearer decisions, better communication and more consistent expectations across courses, without assuming authority over assessment design, marking, moderation or standard setting.</w:t>
      </w:r>
    </w:p>
    <w:p w14:paraId="24ED8A3A" w14:textId="77777777" w:rsidR="00742B98" w:rsidRPr="00742B98" w:rsidRDefault="00742B98" w:rsidP="00742B98">
      <w:pPr>
        <w:tabs>
          <w:tab w:val="left" w:pos="1337"/>
        </w:tabs>
        <w:jc w:val="both"/>
        <w:rPr>
          <w:rFonts w:ascii="Arial" w:hAnsi="Arial" w:cs="Arial"/>
          <w:sz w:val="22"/>
          <w:szCs w:val="22"/>
        </w:rPr>
      </w:pPr>
      <w:r w:rsidRPr="00742B98">
        <w:rPr>
          <w:rFonts w:ascii="Arial" w:hAnsi="Arial" w:cs="Arial"/>
          <w:sz w:val="22"/>
          <w:szCs w:val="22"/>
        </w:rPr>
        <w:t>This memorandum has two audiences. For students and student representatives, it explains why a move toward computer-based assessment may be appropriate, while also identifying safeguards students can reasonably expect. For course convenors, programme leadership and faculty governance structures, it offers a student-informed synthesis of practical concerns, assessment literature, institutional experience and interinstitutional insights gathered through SCL’s networks and discussions.</w:t>
      </w:r>
    </w:p>
    <w:p w14:paraId="47DC9B00" w14:textId="77777777" w:rsidR="00742B98" w:rsidRPr="00742B98" w:rsidRDefault="00742B98" w:rsidP="00742B98">
      <w:pPr>
        <w:tabs>
          <w:tab w:val="left" w:pos="1337"/>
        </w:tabs>
        <w:jc w:val="both"/>
        <w:rPr>
          <w:rFonts w:ascii="Arial" w:hAnsi="Arial" w:cs="Arial"/>
          <w:sz w:val="22"/>
          <w:szCs w:val="22"/>
        </w:rPr>
      </w:pPr>
      <w:r w:rsidRPr="00742B98">
        <w:rPr>
          <w:rFonts w:ascii="Arial" w:hAnsi="Arial" w:cs="Arial"/>
          <w:sz w:val="22"/>
          <w:szCs w:val="22"/>
        </w:rPr>
        <w:t xml:space="preserve">The SCL’s position is that computer-based assessment should continue where it is educationally appropriate and feasible. However, decisions about assessment modality should not be left to isolated course-level implementation alone. Where the programme moves toward digital or hybrid assessment, there should be shared agreement on what </w:t>
      </w:r>
      <w:proofErr w:type="gramStart"/>
      <w:r w:rsidRPr="00742B98">
        <w:rPr>
          <w:rFonts w:ascii="Arial" w:hAnsi="Arial" w:cs="Arial"/>
          <w:sz w:val="22"/>
          <w:szCs w:val="22"/>
        </w:rPr>
        <w:t>students</w:t>
      </w:r>
      <w:proofErr w:type="gramEnd"/>
      <w:r w:rsidRPr="00742B98">
        <w:rPr>
          <w:rFonts w:ascii="Arial" w:hAnsi="Arial" w:cs="Arial"/>
          <w:sz w:val="22"/>
          <w:szCs w:val="22"/>
        </w:rPr>
        <w:t xml:space="preserve"> need before the assessment, how the assessment should be designed and delivered, what information should be provided after marks are released, and where variation between courses is justified.</w:t>
      </w:r>
    </w:p>
    <w:p w14:paraId="75404A22" w14:textId="4BDE7860" w:rsidR="00742B98" w:rsidRPr="00594A2B" w:rsidRDefault="00742B98" w:rsidP="00D300A3">
      <w:pPr>
        <w:tabs>
          <w:tab w:val="left" w:pos="1337"/>
        </w:tabs>
        <w:jc w:val="both"/>
        <w:rPr>
          <w:rFonts w:ascii="Arial" w:hAnsi="Arial" w:cs="Arial"/>
          <w:sz w:val="22"/>
          <w:szCs w:val="22"/>
        </w:rPr>
      </w:pPr>
      <w:r w:rsidRPr="00742B98">
        <w:rPr>
          <w:rFonts w:ascii="Arial" w:hAnsi="Arial" w:cs="Arial"/>
          <w:sz w:val="22"/>
          <w:szCs w:val="22"/>
        </w:rPr>
        <w:t>In this sense, the Year 3 IHS case is not used here because it is exceptional, but because it makes visible a set of assessment workflow questions that are likely to recur whenever courses shift modality, alter weighting, introduce new digital platforms, or change how students receive feedback and marks.</w:t>
      </w:r>
    </w:p>
    <w:p w14:paraId="46D33DDE" w14:textId="77777777" w:rsidR="00541D2B" w:rsidRPr="0002408C" w:rsidRDefault="00541D2B" w:rsidP="00D75CA1">
      <w:pPr>
        <w:pStyle w:val="Heading1"/>
        <w:rPr>
          <w:rFonts w:ascii="Gill Sans MT" w:hAnsi="Gill Sans MT"/>
          <w:b/>
          <w:bCs/>
          <w:color w:val="002060"/>
        </w:rPr>
      </w:pPr>
      <w:bookmarkStart w:id="2" w:name="_Toc229519663"/>
      <w:r w:rsidRPr="0002408C">
        <w:rPr>
          <w:rFonts w:ascii="Gill Sans MT" w:hAnsi="Gill Sans MT"/>
          <w:b/>
          <w:bCs/>
          <w:color w:val="002060"/>
        </w:rPr>
        <w:t>2. What the Year 3 IHS Transition Made Visible</w:t>
      </w:r>
      <w:bookmarkEnd w:id="2"/>
    </w:p>
    <w:p w14:paraId="30F94697" w14:textId="77777777" w:rsidR="00541D2B" w:rsidRPr="005F4A6C" w:rsidRDefault="00541D2B" w:rsidP="00D300A3">
      <w:pPr>
        <w:tabs>
          <w:tab w:val="left" w:pos="1337"/>
        </w:tabs>
        <w:jc w:val="both"/>
        <w:rPr>
          <w:rFonts w:ascii="Arial" w:hAnsi="Arial" w:cs="Arial"/>
          <w:sz w:val="22"/>
          <w:szCs w:val="22"/>
        </w:rPr>
      </w:pPr>
      <w:r w:rsidRPr="00594A2B">
        <w:rPr>
          <w:rFonts w:ascii="Arial" w:hAnsi="Arial" w:cs="Arial"/>
          <w:sz w:val="22"/>
          <w:szCs w:val="22"/>
        </w:rPr>
        <w:t xml:space="preserve">The recent Year 3 IHS transition to computer-based SAQ assessment surfaced concerns that extend beyond the immediate sitting. These concerns are useful because they show how a change in assessment modality can expose wider questions about assessment readiness, </w:t>
      </w:r>
      <w:r w:rsidRPr="005F4A6C">
        <w:rPr>
          <w:rFonts w:ascii="Arial" w:hAnsi="Arial" w:cs="Arial"/>
          <w:sz w:val="22"/>
          <w:szCs w:val="22"/>
        </w:rPr>
        <w:t>design, quality assurance and post-assessment communication across the programme.</w:t>
      </w:r>
    </w:p>
    <w:p w14:paraId="6615D9A2" w14:textId="77777777" w:rsidR="00541D2B" w:rsidRPr="005F4A6C" w:rsidRDefault="00541D2B" w:rsidP="00D300A3">
      <w:pPr>
        <w:tabs>
          <w:tab w:val="left" w:pos="1337"/>
        </w:tabs>
        <w:jc w:val="both"/>
        <w:rPr>
          <w:rFonts w:ascii="Arial" w:hAnsi="Arial" w:cs="Arial"/>
          <w:sz w:val="22"/>
          <w:szCs w:val="22"/>
        </w:rPr>
      </w:pPr>
      <w:r w:rsidRPr="005F4A6C">
        <w:rPr>
          <w:rFonts w:ascii="Arial" w:hAnsi="Arial" w:cs="Arial"/>
          <w:sz w:val="22"/>
          <w:szCs w:val="22"/>
        </w:rPr>
        <w:t>The concerns appear to fall into three connected areas.</w:t>
      </w:r>
    </w:p>
    <w:p w14:paraId="6F4B0054" w14:textId="77777777" w:rsidR="00541D2B" w:rsidRPr="005F4A6C" w:rsidRDefault="00541D2B" w:rsidP="00D300A3">
      <w:pPr>
        <w:tabs>
          <w:tab w:val="left" w:pos="1337"/>
        </w:tabs>
        <w:jc w:val="both"/>
        <w:rPr>
          <w:rFonts w:ascii="Arial" w:hAnsi="Arial" w:cs="Arial"/>
          <w:sz w:val="22"/>
          <w:szCs w:val="22"/>
        </w:rPr>
      </w:pPr>
      <w:r w:rsidRPr="005F4A6C">
        <w:rPr>
          <w:rFonts w:ascii="Arial" w:hAnsi="Arial" w:cs="Arial"/>
          <w:sz w:val="22"/>
          <w:szCs w:val="22"/>
        </w:rPr>
        <w:t xml:space="preserve">First, there are </w:t>
      </w:r>
      <w:r w:rsidRPr="005F4A6C">
        <w:rPr>
          <w:rFonts w:ascii="Arial" w:hAnsi="Arial" w:cs="Arial"/>
          <w:b/>
          <w:bCs/>
          <w:sz w:val="22"/>
          <w:szCs w:val="22"/>
        </w:rPr>
        <w:t>format-related concerns</w:t>
      </w:r>
      <w:r w:rsidRPr="005F4A6C">
        <w:rPr>
          <w:rFonts w:ascii="Arial" w:hAnsi="Arial" w:cs="Arial"/>
          <w:sz w:val="22"/>
          <w:szCs w:val="22"/>
        </w:rPr>
        <w:t>: typing under time pressure, digital navigation, scrolling, access to vignettes and source material, keyboard noise, venue consistency, scrap paper and unfamiliarity with the digital workflow. Some adjustment is expected when moving from paper-based to computer-based assessment. However, expected adjustment should be distinguished from avoidable design friction, particularly where the platform or venue conditions add burden unrelated to the clinical reasoning being assessed.</w:t>
      </w:r>
    </w:p>
    <w:p w14:paraId="2B58869C" w14:textId="77777777" w:rsidR="00541D2B" w:rsidRPr="005F4A6C" w:rsidRDefault="00541D2B" w:rsidP="00D300A3">
      <w:pPr>
        <w:tabs>
          <w:tab w:val="left" w:pos="1337"/>
        </w:tabs>
        <w:jc w:val="both"/>
        <w:rPr>
          <w:rFonts w:ascii="Arial" w:hAnsi="Arial" w:cs="Arial"/>
          <w:sz w:val="22"/>
          <w:szCs w:val="22"/>
        </w:rPr>
      </w:pPr>
      <w:r w:rsidRPr="005F4A6C">
        <w:rPr>
          <w:rFonts w:ascii="Arial" w:hAnsi="Arial" w:cs="Arial"/>
          <w:sz w:val="22"/>
          <w:szCs w:val="22"/>
        </w:rPr>
        <w:lastRenderedPageBreak/>
        <w:t xml:space="preserve">Second, there are </w:t>
      </w:r>
      <w:r w:rsidRPr="005F4A6C">
        <w:rPr>
          <w:rFonts w:ascii="Arial" w:hAnsi="Arial" w:cs="Arial"/>
          <w:b/>
          <w:bCs/>
          <w:sz w:val="22"/>
          <w:szCs w:val="22"/>
        </w:rPr>
        <w:t>assessment-design concerns</w:t>
      </w:r>
      <w:r w:rsidRPr="005F4A6C">
        <w:rPr>
          <w:rFonts w:ascii="Arial" w:hAnsi="Arial" w:cs="Arial"/>
          <w:sz w:val="22"/>
          <w:szCs w:val="22"/>
        </w:rPr>
        <w:t>: question clarity, ambiguity, factual accuracy, content scope, clinical relevance, mark allocation, weighting, cognitive demand and alignment with teaching emphasis. These are not caused by computer-based assessment, but a digital format can make them more visible because students have fewer paper-based affordances they may normally use to organise reasoning, annotate stems or cross-reference source material.</w:t>
      </w:r>
    </w:p>
    <w:p w14:paraId="7E30DE51" w14:textId="77777777" w:rsidR="00541D2B" w:rsidRPr="005F4A6C" w:rsidRDefault="00541D2B" w:rsidP="00D300A3">
      <w:pPr>
        <w:tabs>
          <w:tab w:val="left" w:pos="1337"/>
        </w:tabs>
        <w:jc w:val="both"/>
        <w:rPr>
          <w:rFonts w:ascii="Arial" w:hAnsi="Arial" w:cs="Arial"/>
          <w:sz w:val="22"/>
          <w:szCs w:val="22"/>
        </w:rPr>
      </w:pPr>
      <w:r w:rsidRPr="005F4A6C">
        <w:rPr>
          <w:rFonts w:ascii="Arial" w:hAnsi="Arial" w:cs="Arial"/>
          <w:sz w:val="22"/>
          <w:szCs w:val="22"/>
        </w:rPr>
        <w:t xml:space="preserve">Third, there are </w:t>
      </w:r>
      <w:r w:rsidRPr="005F4A6C">
        <w:rPr>
          <w:rFonts w:ascii="Arial" w:hAnsi="Arial" w:cs="Arial"/>
          <w:b/>
          <w:bCs/>
          <w:sz w:val="22"/>
          <w:szCs w:val="22"/>
        </w:rPr>
        <w:t>post-assessment transparency concerns</w:t>
      </w:r>
      <w:r w:rsidRPr="005F4A6C">
        <w:rPr>
          <w:rFonts w:ascii="Arial" w:hAnsi="Arial" w:cs="Arial"/>
          <w:sz w:val="22"/>
          <w:szCs w:val="22"/>
        </w:rPr>
        <w:t xml:space="preserve">: release of SAQ and MCQ component marks, access to scripts or feedback, cohort statistics, moderation, standard setting and communication around how final marks were derived. These concerns point to the need for more consistent post-assessment workflows across courses, </w:t>
      </w:r>
      <w:proofErr w:type="gramStart"/>
      <w:r w:rsidRPr="005F4A6C">
        <w:rPr>
          <w:rFonts w:ascii="Arial" w:hAnsi="Arial" w:cs="Arial"/>
          <w:sz w:val="22"/>
          <w:szCs w:val="22"/>
        </w:rPr>
        <w:t>not only within</w:t>
      </w:r>
      <w:proofErr w:type="gramEnd"/>
      <w:r w:rsidRPr="005F4A6C">
        <w:rPr>
          <w:rFonts w:ascii="Arial" w:hAnsi="Arial" w:cs="Arial"/>
          <w:sz w:val="22"/>
          <w:szCs w:val="22"/>
        </w:rPr>
        <w:t xml:space="preserve"> IHS.</w:t>
      </w:r>
    </w:p>
    <w:p w14:paraId="031E259D" w14:textId="6243D561" w:rsidR="00464A90" w:rsidRDefault="00464A90" w:rsidP="00D300A3">
      <w:pPr>
        <w:tabs>
          <w:tab w:val="left" w:pos="1337"/>
        </w:tabs>
        <w:jc w:val="both"/>
        <w:rPr>
          <w:rFonts w:ascii="Arial" w:hAnsi="Arial" w:cs="Arial"/>
          <w:sz w:val="22"/>
          <w:szCs w:val="22"/>
        </w:rPr>
      </w:pPr>
      <w:r w:rsidRPr="00464A90">
        <w:rPr>
          <w:rFonts w:ascii="Arial" w:hAnsi="Arial" w:cs="Arial"/>
          <w:sz w:val="22"/>
          <w:szCs w:val="22"/>
        </w:rPr>
        <w:t>The value of this case is that it separates issues that can easily become conflated. Typing and platform navigation are format-related concerns. Question ambiguity and mark allocation are assessment-design concerns. Component marks, cohort-level statistics, scripts and moderation communication are post-assessment workflow concerns. Each requires a different response. This is why the current case is useful for programme-level reflection: it shows that assessment modality, question design, delivery conditions and post-assessment communication need to be planned together rather than handled as separate course-level problems.</w:t>
      </w:r>
    </w:p>
    <w:p w14:paraId="0A3C4254" w14:textId="7C335017" w:rsidR="00541D2B" w:rsidRPr="0002408C" w:rsidRDefault="00D300A3" w:rsidP="00D300A3">
      <w:pPr>
        <w:tabs>
          <w:tab w:val="left" w:pos="1337"/>
        </w:tabs>
        <w:rPr>
          <w:rStyle w:val="Heading1Char"/>
          <w:rFonts w:ascii="Gill Sans MT" w:eastAsiaTheme="minorHAnsi" w:hAnsi="Gill Sans MT" w:cs="Arial"/>
          <w:b/>
          <w:bCs/>
          <w:color w:val="002060"/>
          <w:sz w:val="22"/>
          <w:szCs w:val="22"/>
        </w:rPr>
      </w:pPr>
      <w:bookmarkStart w:id="3" w:name="_Toc229519664"/>
      <w:r w:rsidRPr="0002408C">
        <w:rPr>
          <w:rStyle w:val="Heading1Char"/>
          <w:rFonts w:ascii="Gill Sans MT" w:hAnsi="Gill Sans MT" w:cs="Arial"/>
          <w:b/>
          <w:bCs/>
          <w:color w:val="002060"/>
        </w:rPr>
        <w:t xml:space="preserve">3. </w:t>
      </w:r>
      <w:r w:rsidR="00541D2B" w:rsidRPr="0002408C">
        <w:rPr>
          <w:rStyle w:val="Heading1Char"/>
          <w:rFonts w:ascii="Gill Sans MT" w:hAnsi="Gill Sans MT" w:cs="Arial"/>
          <w:b/>
          <w:bCs/>
          <w:color w:val="002060"/>
        </w:rPr>
        <w:t>Typed SAQs as a Programme-Level Transition</w:t>
      </w:r>
      <w:bookmarkEnd w:id="3"/>
    </w:p>
    <w:p w14:paraId="44C94065" w14:textId="77777777" w:rsidR="00541D2B" w:rsidRPr="005F4A6C" w:rsidRDefault="00541D2B" w:rsidP="00750F69">
      <w:pPr>
        <w:tabs>
          <w:tab w:val="left" w:pos="1337"/>
        </w:tabs>
        <w:jc w:val="both"/>
        <w:rPr>
          <w:rFonts w:ascii="Arial" w:hAnsi="Arial" w:cs="Arial"/>
          <w:sz w:val="22"/>
          <w:szCs w:val="22"/>
        </w:rPr>
      </w:pPr>
      <w:r w:rsidRPr="005F4A6C">
        <w:rPr>
          <w:rFonts w:ascii="Arial" w:hAnsi="Arial" w:cs="Arial"/>
          <w:sz w:val="22"/>
          <w:szCs w:val="22"/>
        </w:rPr>
        <w:t>The Year 3 IHS transition should not be treated as an isolated Pathology/IHS change. If computer-based SAQs are accepted as an appropriate direction for the MBChB programme, then the transition needs to be planned as a curriculum-level implementation process rather than introduced unevenly by individual courses.</w:t>
      </w:r>
    </w:p>
    <w:p w14:paraId="77B83F26" w14:textId="77777777" w:rsidR="00541D2B" w:rsidRPr="005F4A6C" w:rsidRDefault="00541D2B" w:rsidP="00750F69">
      <w:pPr>
        <w:tabs>
          <w:tab w:val="left" w:pos="1337"/>
        </w:tabs>
        <w:jc w:val="both"/>
        <w:rPr>
          <w:rFonts w:ascii="Arial" w:hAnsi="Arial" w:cs="Arial"/>
          <w:sz w:val="22"/>
          <w:szCs w:val="22"/>
        </w:rPr>
      </w:pPr>
      <w:r w:rsidRPr="005F4A6C">
        <w:rPr>
          <w:rFonts w:ascii="Arial" w:hAnsi="Arial" w:cs="Arial"/>
          <w:sz w:val="22"/>
          <w:szCs w:val="22"/>
        </w:rPr>
        <w:t xml:space="preserve">The issue is not basic typing ability. Students already develop typed academic habits from early in the programme through Semester 1 Physics, BP/BHP, Human Biology, online submissions, assignments and written coursework. What is less consistently developed is the more specific skill of </w:t>
      </w:r>
      <w:r w:rsidRPr="005F4A6C">
        <w:rPr>
          <w:rFonts w:ascii="Arial" w:hAnsi="Arial" w:cs="Arial"/>
          <w:b/>
          <w:bCs/>
          <w:sz w:val="22"/>
          <w:szCs w:val="22"/>
        </w:rPr>
        <w:t>timed, typed assessment-based reasoning</w:t>
      </w:r>
      <w:r w:rsidRPr="005F4A6C">
        <w:rPr>
          <w:rFonts w:ascii="Arial" w:hAnsi="Arial" w:cs="Arial"/>
          <w:sz w:val="22"/>
          <w:szCs w:val="22"/>
        </w:rPr>
        <w:t>: reading clinical or scientific material under examination conditions, identifying what is being asked, constructing concise responses, editing under time pressure, and managing time within a digital platform.</w:t>
      </w:r>
    </w:p>
    <w:p w14:paraId="725B9A8D" w14:textId="77777777" w:rsidR="00541D2B" w:rsidRPr="005F4A6C" w:rsidRDefault="00541D2B" w:rsidP="00750F69">
      <w:pPr>
        <w:tabs>
          <w:tab w:val="left" w:pos="1337"/>
        </w:tabs>
        <w:jc w:val="both"/>
        <w:rPr>
          <w:rFonts w:ascii="Arial" w:hAnsi="Arial" w:cs="Arial"/>
          <w:sz w:val="22"/>
          <w:szCs w:val="22"/>
        </w:rPr>
      </w:pPr>
      <w:r w:rsidRPr="005F4A6C">
        <w:rPr>
          <w:rFonts w:ascii="Arial" w:hAnsi="Arial" w:cs="Arial"/>
          <w:sz w:val="22"/>
          <w:szCs w:val="22"/>
        </w:rPr>
        <w:t>For future cohorts, exposure to typed SAQs should begin earlier in the programme, particularly through BP/BHP, Human Biology, early IHS and other early written-assessment opportunities. If students are expected to complete typed SAQs in larger integrated summative assessments, they should first encounter similar formats in lower-stakes or formative contexts. The UCT Assessment Policy explicitly states that students should have adequate exposure to and practice with assessment methods or task types before high-stakes or final assessment.</w:t>
      </w:r>
    </w:p>
    <w:p w14:paraId="3F44F5E7" w14:textId="77777777" w:rsidR="00541D2B" w:rsidRDefault="00541D2B" w:rsidP="00750F69">
      <w:pPr>
        <w:tabs>
          <w:tab w:val="left" w:pos="1337"/>
        </w:tabs>
        <w:jc w:val="both"/>
        <w:rPr>
          <w:rFonts w:ascii="Arial" w:hAnsi="Arial" w:cs="Arial"/>
          <w:sz w:val="22"/>
          <w:szCs w:val="22"/>
        </w:rPr>
      </w:pPr>
      <w:r w:rsidRPr="005F4A6C">
        <w:rPr>
          <w:rFonts w:ascii="Arial" w:hAnsi="Arial" w:cs="Arial"/>
          <w:sz w:val="22"/>
          <w:szCs w:val="22"/>
        </w:rPr>
        <w:t xml:space="preserve">This is a curriculum-level implementation issue, not simply a student-support issue. Pathology/IHS should not carry the transition alone. If typed SAQs are educationally and administratively appropriate, the programme should consider where similar approaches can be introduced earlier </w:t>
      </w:r>
      <w:r w:rsidRPr="005F4A6C">
        <w:rPr>
          <w:rFonts w:ascii="Arial" w:hAnsi="Arial" w:cs="Arial"/>
          <w:sz w:val="22"/>
          <w:szCs w:val="22"/>
        </w:rPr>
        <w:lastRenderedPageBreak/>
        <w:t>and more consistently, so that students experience the modality as part of a coherent assessment pathway rather than a sudden course-specific shift.</w:t>
      </w:r>
    </w:p>
    <w:p w14:paraId="19C8147C" w14:textId="7E628861" w:rsidR="00750F69" w:rsidRPr="005F4A6C" w:rsidRDefault="00750F69" w:rsidP="00750F69">
      <w:pPr>
        <w:tabs>
          <w:tab w:val="left" w:pos="1337"/>
        </w:tabs>
        <w:jc w:val="both"/>
        <w:rPr>
          <w:rFonts w:ascii="Arial" w:hAnsi="Arial" w:cs="Arial"/>
          <w:sz w:val="22"/>
          <w:szCs w:val="22"/>
        </w:rPr>
      </w:pPr>
      <w:r w:rsidRPr="00750F69">
        <w:rPr>
          <w:rFonts w:ascii="Arial" w:hAnsi="Arial" w:cs="Arial"/>
          <w:sz w:val="22"/>
          <w:szCs w:val="22"/>
        </w:rPr>
        <w:t>Student-informed benchmarking through SCL’s national and continental networks suggests that peer institutions are also grappling with the sequencing of digital written assessments, including when students first encounter typed responses, how platforms are introduced, and how assessment information is communicated after results. This comparative perspective is useful not because other institutions should be copied uncritically, but because it helps UCT avoid treating digital assessment transition as a purely local or isolated problem</w:t>
      </w:r>
    </w:p>
    <w:p w14:paraId="539A814C" w14:textId="77777777" w:rsidR="00541D2B" w:rsidRPr="005F4A6C" w:rsidRDefault="00541D2B" w:rsidP="00750F69">
      <w:pPr>
        <w:tabs>
          <w:tab w:val="left" w:pos="1337"/>
        </w:tabs>
        <w:jc w:val="both"/>
        <w:rPr>
          <w:rFonts w:ascii="Arial" w:hAnsi="Arial" w:cs="Arial"/>
          <w:sz w:val="22"/>
          <w:szCs w:val="22"/>
        </w:rPr>
      </w:pPr>
      <w:r w:rsidRPr="005F4A6C">
        <w:rPr>
          <w:rFonts w:ascii="Arial" w:hAnsi="Arial" w:cs="Arial"/>
          <w:sz w:val="22"/>
          <w:szCs w:val="22"/>
        </w:rPr>
        <w:t>At the same time, standardisation should not mean rigid uniformity. A whole-year integrated course assessing more than two hundred students faces different logistical realities from a clinical rotation assessing smaller groups of approximately forty students. Some blocks may reasonably retain paper-based or hybrid formats because of venue limitations, bedside contexts, diagrams, clinical images or discipline-specific marking workflows.</w:t>
      </w:r>
    </w:p>
    <w:p w14:paraId="035DBEBC" w14:textId="411E6A72" w:rsidR="00541D2B" w:rsidRPr="005F4A6C" w:rsidRDefault="00541D2B" w:rsidP="00750F69">
      <w:pPr>
        <w:tabs>
          <w:tab w:val="left" w:pos="1337"/>
        </w:tabs>
        <w:jc w:val="both"/>
        <w:rPr>
          <w:rFonts w:ascii="Arial" w:hAnsi="Arial" w:cs="Arial"/>
          <w:sz w:val="22"/>
          <w:szCs w:val="22"/>
        </w:rPr>
      </w:pPr>
      <w:r w:rsidRPr="005F4A6C">
        <w:rPr>
          <w:rFonts w:ascii="Arial" w:hAnsi="Arial" w:cs="Arial"/>
          <w:sz w:val="22"/>
          <w:szCs w:val="22"/>
        </w:rPr>
        <w:t xml:space="preserve">The principle should therefore be </w:t>
      </w:r>
      <w:r w:rsidRPr="005F4A6C">
        <w:rPr>
          <w:rFonts w:ascii="Arial" w:hAnsi="Arial" w:cs="Arial"/>
          <w:b/>
          <w:bCs/>
          <w:sz w:val="22"/>
          <w:szCs w:val="22"/>
        </w:rPr>
        <w:t>standardisation where appropriate, justified variation where necessary</w:t>
      </w:r>
      <w:r w:rsidRPr="005F4A6C">
        <w:rPr>
          <w:rFonts w:ascii="Arial" w:hAnsi="Arial" w:cs="Arial"/>
          <w:sz w:val="22"/>
          <w:szCs w:val="22"/>
        </w:rPr>
        <w:t>. Modality choices across the MBChB programme should be deliberate, educationally justified and clearly communicated</w:t>
      </w:r>
    </w:p>
    <w:p w14:paraId="3E6ADE81" w14:textId="77777777" w:rsidR="00541D2B" w:rsidRPr="0002408C" w:rsidRDefault="00541D2B" w:rsidP="00D75CA1">
      <w:pPr>
        <w:pStyle w:val="Heading1"/>
        <w:rPr>
          <w:rFonts w:ascii="Gill Sans MT" w:hAnsi="Gill Sans MT" w:cs="Arial"/>
          <w:b/>
          <w:bCs/>
          <w:color w:val="002060"/>
        </w:rPr>
      </w:pPr>
      <w:bookmarkStart w:id="4" w:name="_Toc229519665"/>
      <w:r w:rsidRPr="0002408C">
        <w:rPr>
          <w:rFonts w:ascii="Gill Sans MT" w:hAnsi="Gill Sans MT" w:cs="Arial"/>
          <w:b/>
          <w:bCs/>
          <w:color w:val="002060"/>
        </w:rPr>
        <w:t>4. Designing and Preparing for Computer-Based SAQs</w:t>
      </w:r>
      <w:bookmarkEnd w:id="4"/>
    </w:p>
    <w:p w14:paraId="0DB773BC" w14:textId="6EC3F8BD" w:rsidR="007C05E2" w:rsidRDefault="007C05E2" w:rsidP="00A3299A">
      <w:pPr>
        <w:tabs>
          <w:tab w:val="left" w:pos="1337"/>
        </w:tabs>
        <w:jc w:val="both"/>
        <w:rPr>
          <w:rFonts w:ascii="Arial" w:hAnsi="Arial" w:cs="Arial"/>
          <w:sz w:val="22"/>
          <w:szCs w:val="22"/>
        </w:rPr>
      </w:pPr>
      <w:r w:rsidRPr="007C05E2">
        <w:rPr>
          <w:rFonts w:ascii="Arial" w:hAnsi="Arial" w:cs="Arial"/>
          <w:sz w:val="22"/>
          <w:szCs w:val="22"/>
        </w:rPr>
        <w:t>Computer-based SAQs require attention to both student preparation and assessment design. Students need opportunities to learn the workflow of timed typed assessment, while the assessment itself must be designed so that the platform supports, rather than obstructs, the intended reasoning task. A typed answer field alone does not make an SAQ digitally appropriate. Where students must interpret a vignette, image, investigation panel or linked clinical scenario, the platform must allow them to access and use that information without adding avoidable navigational burden.</w:t>
      </w:r>
    </w:p>
    <w:p w14:paraId="1EBA90ED" w14:textId="60372347" w:rsidR="00A3299A" w:rsidRPr="005F4A6C" w:rsidRDefault="00A3299A" w:rsidP="00A3299A">
      <w:pPr>
        <w:tabs>
          <w:tab w:val="left" w:pos="1337"/>
        </w:tabs>
        <w:jc w:val="both"/>
        <w:rPr>
          <w:rFonts w:ascii="Arial" w:hAnsi="Arial" w:cs="Arial"/>
          <w:sz w:val="22"/>
          <w:szCs w:val="22"/>
        </w:rPr>
      </w:pPr>
      <w:r w:rsidRPr="00A3299A">
        <w:rPr>
          <w:rFonts w:ascii="Arial" w:hAnsi="Arial" w:cs="Arial"/>
          <w:sz w:val="22"/>
          <w:szCs w:val="22"/>
        </w:rPr>
        <w:t>When well implemented, computer-based SAQs may also support faster marking workflows, clearer data capture, easier moderation, reduced paper burden and more consistent storage of assessment responses. These benefits matter in large integrated courses, but they depend on careful design of the student-facing assessment experience.</w:t>
      </w:r>
    </w:p>
    <w:p w14:paraId="477203F1" w14:textId="352F2A99" w:rsidR="00541D2B" w:rsidRPr="005F4A6C" w:rsidRDefault="00541D2B" w:rsidP="00A3299A">
      <w:pPr>
        <w:tabs>
          <w:tab w:val="left" w:pos="1337"/>
        </w:tabs>
        <w:jc w:val="both"/>
        <w:rPr>
          <w:rFonts w:ascii="Arial" w:hAnsi="Arial" w:cs="Arial"/>
          <w:sz w:val="22"/>
          <w:szCs w:val="22"/>
        </w:rPr>
      </w:pPr>
      <w:r w:rsidRPr="005F4A6C">
        <w:rPr>
          <w:rFonts w:ascii="Arial" w:hAnsi="Arial" w:cs="Arial"/>
          <w:sz w:val="22"/>
          <w:szCs w:val="22"/>
        </w:rPr>
        <w:t xml:space="preserve">AMEE Guide 39 notes that </w:t>
      </w:r>
      <w:proofErr w:type="spellStart"/>
      <w:r w:rsidRPr="005F4A6C">
        <w:rPr>
          <w:rFonts w:ascii="Arial" w:hAnsi="Arial" w:cs="Arial"/>
          <w:sz w:val="22"/>
          <w:szCs w:val="22"/>
        </w:rPr>
        <w:t>eAssessment</w:t>
      </w:r>
      <w:proofErr w:type="spellEnd"/>
      <w:r w:rsidRPr="005F4A6C">
        <w:rPr>
          <w:rFonts w:ascii="Arial" w:hAnsi="Arial" w:cs="Arial"/>
          <w:sz w:val="22"/>
          <w:szCs w:val="22"/>
        </w:rPr>
        <w:t xml:space="preserve"> can enhance assessment processes but requires careful management, particularly in summative assessment where reliability, validity, hardware and back-up systems become critical. It also notes that online assessment may offer new question types and formats, but these still require attention to validity, reliability and utility.</w:t>
      </w:r>
      <w:r w:rsidR="00BD2A64" w:rsidRPr="005F4A6C">
        <w:rPr>
          <w:rFonts w:ascii="Arial" w:hAnsi="Arial" w:cs="Arial"/>
          <w:sz w:val="22"/>
          <w:szCs w:val="22"/>
        </w:rPr>
        <w:t xml:space="preserve"> The following two tools separate student preparation from assessment design. Both are needed: students need to learn the workflow, and the assessment itself must be designed so that the platform supports, rather than obstructs, the intended reasoning task.</w:t>
      </w:r>
      <w:r w:rsidR="009F724D">
        <w:rPr>
          <w:rFonts w:ascii="Arial" w:hAnsi="Arial" w:cs="Arial"/>
          <w:sz w:val="22"/>
          <w:szCs w:val="22"/>
        </w:rPr>
        <w:t xml:space="preserve"> A design checklist is provided in </w:t>
      </w:r>
      <w:hyperlink w:anchor="_Appendix_A:_Digital" w:history="1">
        <w:r w:rsidR="009F724D" w:rsidRPr="00973A97">
          <w:rPr>
            <w:rStyle w:val="Hyperlink"/>
            <w:rFonts w:ascii="Arial" w:hAnsi="Arial" w:cs="Arial"/>
            <w:sz w:val="22"/>
            <w:szCs w:val="22"/>
          </w:rPr>
          <w:t>Appendix A</w:t>
        </w:r>
      </w:hyperlink>
      <w:r w:rsidR="009F724D">
        <w:rPr>
          <w:rFonts w:ascii="Arial" w:hAnsi="Arial" w:cs="Arial"/>
          <w:sz w:val="22"/>
          <w:szCs w:val="22"/>
        </w:rPr>
        <w:t xml:space="preserve">. </w:t>
      </w:r>
    </w:p>
    <w:p w14:paraId="4068D9B9" w14:textId="77777777" w:rsidR="00541D2B" w:rsidRPr="0002408C" w:rsidRDefault="00541D2B" w:rsidP="00973A97">
      <w:pPr>
        <w:pStyle w:val="Heading1"/>
        <w:rPr>
          <w:rFonts w:ascii="Gill Sans MT" w:hAnsi="Gill Sans MT"/>
          <w:b/>
          <w:bCs/>
          <w:color w:val="002060"/>
        </w:rPr>
      </w:pPr>
      <w:bookmarkStart w:id="5" w:name="_Toc229519666"/>
      <w:r w:rsidRPr="0002408C">
        <w:rPr>
          <w:rFonts w:ascii="Gill Sans MT" w:hAnsi="Gill Sans MT"/>
          <w:b/>
          <w:bCs/>
          <w:color w:val="002060"/>
        </w:rPr>
        <w:lastRenderedPageBreak/>
        <w:t>5. Question Complexity, Clinical Relevance and Blueprinting</w:t>
      </w:r>
      <w:bookmarkEnd w:id="5"/>
    </w:p>
    <w:p w14:paraId="11755218" w14:textId="77777777" w:rsidR="00541D2B" w:rsidRPr="005F4A6C" w:rsidRDefault="00541D2B" w:rsidP="009E3072">
      <w:pPr>
        <w:tabs>
          <w:tab w:val="left" w:pos="1337"/>
        </w:tabs>
        <w:jc w:val="both"/>
        <w:rPr>
          <w:rFonts w:ascii="Arial" w:hAnsi="Arial" w:cs="Arial"/>
          <w:sz w:val="22"/>
          <w:szCs w:val="22"/>
        </w:rPr>
      </w:pPr>
      <w:r w:rsidRPr="005F4A6C">
        <w:rPr>
          <w:rFonts w:ascii="Arial" w:hAnsi="Arial" w:cs="Arial"/>
          <w:sz w:val="22"/>
          <w:szCs w:val="22"/>
        </w:rPr>
        <w:t xml:space="preserve">Computer-based SAQs should be reviewed not only for content coverage, but for the total task they require students to perform. A question may be in scope and still be poorly calibrated if it combines difficult content, an unfamiliar clinical context, a complex stimulus, high-level reasoning, a </w:t>
      </w:r>
      <w:proofErr w:type="gramStart"/>
      <w:r w:rsidRPr="005F4A6C">
        <w:rPr>
          <w:rFonts w:ascii="Arial" w:hAnsi="Arial" w:cs="Arial"/>
          <w:sz w:val="22"/>
          <w:szCs w:val="22"/>
        </w:rPr>
        <w:t>long typed</w:t>
      </w:r>
      <w:proofErr w:type="gramEnd"/>
      <w:r w:rsidRPr="005F4A6C">
        <w:rPr>
          <w:rFonts w:ascii="Arial" w:hAnsi="Arial" w:cs="Arial"/>
          <w:sz w:val="22"/>
          <w:szCs w:val="22"/>
        </w:rPr>
        <w:t xml:space="preserve"> response and digital navigation burden within limited time or marks.</w:t>
      </w:r>
    </w:p>
    <w:p w14:paraId="5CDB2BEC" w14:textId="77777777" w:rsidR="00541D2B" w:rsidRDefault="00541D2B" w:rsidP="009E3072">
      <w:pPr>
        <w:tabs>
          <w:tab w:val="left" w:pos="1337"/>
        </w:tabs>
        <w:jc w:val="both"/>
        <w:rPr>
          <w:rFonts w:ascii="Arial" w:hAnsi="Arial" w:cs="Arial"/>
          <w:sz w:val="22"/>
          <w:szCs w:val="22"/>
        </w:rPr>
      </w:pPr>
      <w:r w:rsidRPr="005F4A6C">
        <w:rPr>
          <w:rFonts w:ascii="Arial" w:hAnsi="Arial" w:cs="Arial"/>
          <w:sz w:val="22"/>
          <w:szCs w:val="22"/>
        </w:rPr>
        <w:t>Raymond and Grande describe blueprinting as a systematic approach to planning assessments, including identifying knowledge and skill domains, specifying assessment objectives, determining assessment format and assigning category weights. They emphasise that blueprints support score interpretation, feedback, validation and evaluation of instruction, not only test assembly.</w:t>
      </w:r>
    </w:p>
    <w:p w14:paraId="4D746E02" w14:textId="5283857D" w:rsidR="009E3072" w:rsidRPr="005F4A6C" w:rsidRDefault="009E3072" w:rsidP="009E3072">
      <w:pPr>
        <w:tabs>
          <w:tab w:val="left" w:pos="1337"/>
        </w:tabs>
        <w:jc w:val="both"/>
        <w:rPr>
          <w:rFonts w:ascii="Arial" w:hAnsi="Arial" w:cs="Arial"/>
          <w:sz w:val="22"/>
          <w:szCs w:val="22"/>
        </w:rPr>
      </w:pPr>
      <w:r w:rsidRPr="009E3072">
        <w:rPr>
          <w:rFonts w:ascii="Arial" w:hAnsi="Arial" w:cs="Arial"/>
          <w:sz w:val="22"/>
          <w:szCs w:val="22"/>
        </w:rPr>
        <w:t xml:space="preserve">A practical SAQ review process should consider both what is being tested and what the student must do to answer it. The full matrix is provided in </w:t>
      </w:r>
      <w:hyperlink w:anchor="_Appendix_B:_SAQ" w:history="1">
        <w:r w:rsidRPr="009E3072">
          <w:rPr>
            <w:rStyle w:val="Hyperlink"/>
            <w:rFonts w:ascii="Arial" w:hAnsi="Arial" w:cs="Arial"/>
            <w:sz w:val="22"/>
            <w:szCs w:val="22"/>
          </w:rPr>
          <w:t>Appendix B</w:t>
        </w:r>
      </w:hyperlink>
      <w:r w:rsidRPr="009E3072">
        <w:rPr>
          <w:rFonts w:ascii="Arial" w:hAnsi="Arial" w:cs="Arial"/>
          <w:sz w:val="22"/>
          <w:szCs w:val="22"/>
        </w:rPr>
        <w:t>. At minimum, reviewers should consider content difficulty, clinical-context difficulty, stimulus difficulty, cognitive-process difficulty, response-production difficulty, digital-workflow burden, timing demand, mark allocation, stage appropriateness and clinical relevance.</w:t>
      </w:r>
    </w:p>
    <w:p w14:paraId="67D3E1FD" w14:textId="58700178" w:rsidR="00541D2B" w:rsidRPr="005F4A6C" w:rsidRDefault="00541D2B" w:rsidP="009E3072">
      <w:pPr>
        <w:tabs>
          <w:tab w:val="left" w:pos="1337"/>
        </w:tabs>
        <w:jc w:val="both"/>
        <w:rPr>
          <w:rFonts w:ascii="Arial" w:hAnsi="Arial" w:cs="Arial"/>
          <w:sz w:val="22"/>
          <w:szCs w:val="22"/>
        </w:rPr>
      </w:pPr>
      <w:r w:rsidRPr="005F4A6C">
        <w:rPr>
          <w:rFonts w:ascii="Arial" w:hAnsi="Arial" w:cs="Arial"/>
          <w:sz w:val="22"/>
          <w:szCs w:val="22"/>
        </w:rPr>
        <w:t>This tool would help reviewers distinguish an appropriately challenging question from an unintentionally overloaded one. It would also help course teams identify whether an item tests the intended construct or whether it relies on premature clinical familiarity, inaccessible source material or excessive digital-workflow burden.</w:t>
      </w:r>
      <w:r w:rsidR="000E32D9" w:rsidRPr="005F4A6C">
        <w:rPr>
          <w:rFonts w:ascii="Arial" w:hAnsi="Arial" w:cs="Arial"/>
        </w:rPr>
        <w:t xml:space="preserve"> </w:t>
      </w:r>
      <w:r w:rsidR="000E32D9" w:rsidRPr="005F4A6C">
        <w:rPr>
          <w:rFonts w:ascii="Arial" w:hAnsi="Arial" w:cs="Arial"/>
          <w:sz w:val="22"/>
          <w:szCs w:val="22"/>
        </w:rPr>
        <w:t>This matrix need not be applied with equal intensity to every item. It is most useful for high-stakes, vignette-based, image-based or multi-step SAQs where content difficulty, clinical reasoning and digital workflow interact.</w:t>
      </w:r>
    </w:p>
    <w:p w14:paraId="46918505" w14:textId="77777777" w:rsidR="00541D2B" w:rsidRPr="00CF29C0" w:rsidRDefault="00541D2B" w:rsidP="00D75CA1">
      <w:pPr>
        <w:pStyle w:val="Heading1"/>
        <w:rPr>
          <w:rFonts w:ascii="Gill Sans MT" w:hAnsi="Gill Sans MT" w:cs="Arial"/>
          <w:b/>
          <w:bCs/>
        </w:rPr>
      </w:pPr>
      <w:bookmarkStart w:id="6" w:name="_Toc229519667"/>
      <w:r w:rsidRPr="0002408C">
        <w:rPr>
          <w:rFonts w:ascii="Gill Sans MT" w:hAnsi="Gill Sans MT" w:cs="Arial"/>
          <w:b/>
          <w:bCs/>
          <w:color w:val="002060"/>
        </w:rPr>
        <w:t>6. Timing Calibration for Computer-Based SAQs</w:t>
      </w:r>
      <w:bookmarkEnd w:id="6"/>
    </w:p>
    <w:p w14:paraId="57A8F00D" w14:textId="77777777" w:rsidR="00541D2B" w:rsidRPr="005F4A6C" w:rsidRDefault="00541D2B" w:rsidP="001772DE">
      <w:pPr>
        <w:tabs>
          <w:tab w:val="left" w:pos="1337"/>
        </w:tabs>
        <w:jc w:val="both"/>
        <w:rPr>
          <w:rFonts w:ascii="Arial" w:hAnsi="Arial" w:cs="Arial"/>
          <w:sz w:val="22"/>
          <w:szCs w:val="22"/>
        </w:rPr>
      </w:pPr>
      <w:r w:rsidRPr="005F4A6C">
        <w:rPr>
          <w:rFonts w:ascii="Arial" w:hAnsi="Arial" w:cs="Arial"/>
          <w:sz w:val="22"/>
          <w:szCs w:val="22"/>
        </w:rPr>
        <w:t xml:space="preserve">Timing in computer-based SAQs should not be determined by marks alone. A fixed minutes-per-mark approach is too blunt because questions with the same mark allocation may require very different levels of reading, interpretation, reasoning, typing, navigation and review. This is especially important when a question is reviewed in Word or </w:t>
      </w:r>
      <w:proofErr w:type="gramStart"/>
      <w:r w:rsidRPr="005F4A6C">
        <w:rPr>
          <w:rFonts w:ascii="Arial" w:hAnsi="Arial" w:cs="Arial"/>
          <w:sz w:val="22"/>
          <w:szCs w:val="22"/>
        </w:rPr>
        <w:t>PDF, but</w:t>
      </w:r>
      <w:proofErr w:type="gramEnd"/>
      <w:r w:rsidRPr="005F4A6C">
        <w:rPr>
          <w:rFonts w:ascii="Arial" w:hAnsi="Arial" w:cs="Arial"/>
          <w:sz w:val="22"/>
          <w:szCs w:val="22"/>
        </w:rPr>
        <w:t xml:space="preserve"> delivered through a digital platform.</w:t>
      </w:r>
    </w:p>
    <w:p w14:paraId="5740BC9E" w14:textId="1C053CDD" w:rsidR="009B48B4" w:rsidRDefault="009B48B4" w:rsidP="001772DE">
      <w:pPr>
        <w:tabs>
          <w:tab w:val="left" w:pos="1337"/>
        </w:tabs>
        <w:jc w:val="both"/>
        <w:rPr>
          <w:rFonts w:ascii="Arial" w:hAnsi="Arial" w:cs="Arial"/>
          <w:sz w:val="22"/>
          <w:szCs w:val="22"/>
        </w:rPr>
      </w:pPr>
      <w:r w:rsidRPr="009B48B4">
        <w:rPr>
          <w:rFonts w:ascii="Arial" w:hAnsi="Arial" w:cs="Arial"/>
          <w:sz w:val="22"/>
          <w:szCs w:val="22"/>
        </w:rPr>
        <w:t xml:space="preserve">AMEE Guide 39 highlights that online assessment requires attention to how question </w:t>
      </w:r>
      <w:proofErr w:type="gramStart"/>
      <w:r w:rsidRPr="009B48B4">
        <w:rPr>
          <w:rFonts w:ascii="Arial" w:hAnsi="Arial" w:cs="Arial"/>
          <w:sz w:val="22"/>
          <w:szCs w:val="22"/>
        </w:rPr>
        <w:t>types</w:t>
      </w:r>
      <w:proofErr w:type="gramEnd"/>
      <w:r w:rsidRPr="009B48B4">
        <w:rPr>
          <w:rFonts w:ascii="Arial" w:hAnsi="Arial" w:cs="Arial"/>
          <w:sz w:val="22"/>
          <w:szCs w:val="22"/>
        </w:rPr>
        <w:t xml:space="preserve"> function in practice, particularly in summative assessment where technical and delivery risks are higher. Blueprinting principles also support alignment between objectives, assessment format, category weighting and score interpretation.</w:t>
      </w:r>
    </w:p>
    <w:p w14:paraId="5A851639" w14:textId="6D3A4F95" w:rsidR="009B48B4" w:rsidRPr="005F4A6C" w:rsidRDefault="009B48B4" w:rsidP="001772DE">
      <w:pPr>
        <w:tabs>
          <w:tab w:val="left" w:pos="1337"/>
        </w:tabs>
        <w:jc w:val="both"/>
        <w:rPr>
          <w:rFonts w:ascii="Arial" w:hAnsi="Arial" w:cs="Arial"/>
          <w:sz w:val="22"/>
          <w:szCs w:val="22"/>
        </w:rPr>
      </w:pPr>
      <w:r w:rsidRPr="009B48B4">
        <w:rPr>
          <w:rFonts w:ascii="Arial" w:hAnsi="Arial" w:cs="Arial"/>
          <w:sz w:val="22"/>
          <w:szCs w:val="22"/>
        </w:rPr>
        <w:t xml:space="preserve">The practical recommendation is that timing be reviewed after the assessment has been uploaded to the actual platform, not only while it remains in paper, Word or PDF format. Only platform-based review allows reviewers to assess the real reading, navigation, image visibility, response-production and review burden experienced by students. This timing approach is incorporated into </w:t>
      </w:r>
      <w:hyperlink w:anchor="_Appendix_B:_SAQ" w:history="1">
        <w:r w:rsidRPr="009B48B4">
          <w:rPr>
            <w:rStyle w:val="Hyperlink"/>
            <w:rFonts w:ascii="Arial" w:hAnsi="Arial" w:cs="Arial"/>
            <w:sz w:val="22"/>
            <w:szCs w:val="22"/>
          </w:rPr>
          <w:t>Appendix B</w:t>
        </w:r>
      </w:hyperlink>
      <w:r w:rsidRPr="009B48B4">
        <w:rPr>
          <w:rFonts w:ascii="Arial" w:hAnsi="Arial" w:cs="Arial"/>
          <w:sz w:val="22"/>
          <w:szCs w:val="22"/>
        </w:rPr>
        <w:t xml:space="preserve"> so that timing is reviewed alongside question complexity, stimulus difficulty and digital workflow rather than treated as a separate afterthought.</w:t>
      </w:r>
    </w:p>
    <w:p w14:paraId="183261E2" w14:textId="3B95AC32" w:rsidR="00541D2B" w:rsidRPr="0002408C" w:rsidRDefault="00541D2B" w:rsidP="00D75CA1">
      <w:pPr>
        <w:pStyle w:val="Heading1"/>
        <w:rPr>
          <w:rFonts w:ascii="Gill Sans MT" w:hAnsi="Gill Sans MT" w:cs="Arial"/>
          <w:b/>
          <w:bCs/>
          <w:color w:val="002060"/>
        </w:rPr>
      </w:pPr>
      <w:bookmarkStart w:id="7" w:name="_Toc229519668"/>
      <w:r w:rsidRPr="0002408C">
        <w:rPr>
          <w:rFonts w:ascii="Gill Sans MT" w:hAnsi="Gill Sans MT" w:cs="Arial"/>
          <w:b/>
          <w:bCs/>
          <w:color w:val="002060"/>
        </w:rPr>
        <w:lastRenderedPageBreak/>
        <w:t>7. Mark Construction, Statistics and Post-Assessment Communication</w:t>
      </w:r>
      <w:bookmarkEnd w:id="7"/>
    </w:p>
    <w:p w14:paraId="680DA14C" w14:textId="3C781D90" w:rsidR="001772DE" w:rsidRPr="001772DE" w:rsidRDefault="001772DE" w:rsidP="001772DE">
      <w:pPr>
        <w:tabs>
          <w:tab w:val="left" w:pos="1337"/>
        </w:tabs>
        <w:jc w:val="both"/>
        <w:rPr>
          <w:rFonts w:ascii="Arial" w:hAnsi="Arial" w:cs="Arial"/>
          <w:sz w:val="22"/>
          <w:szCs w:val="22"/>
        </w:rPr>
      </w:pPr>
      <w:r w:rsidRPr="001772DE">
        <w:rPr>
          <w:rFonts w:ascii="Arial" w:hAnsi="Arial" w:cs="Arial"/>
          <w:sz w:val="22"/>
          <w:szCs w:val="22"/>
        </w:rPr>
        <w:t>A core concern is not simply whether students receive a final mark, but whether they receive enough information to interpret that mark meaningfully. Students need to understand their performance for learning and remediation; convenors need to understand assessment performance for quality assurance and future improvement.</w:t>
      </w:r>
    </w:p>
    <w:p w14:paraId="6DF1CE9A" w14:textId="77777777" w:rsidR="001772DE" w:rsidRPr="001772DE" w:rsidRDefault="001772DE" w:rsidP="001772DE">
      <w:pPr>
        <w:tabs>
          <w:tab w:val="left" w:pos="1337"/>
        </w:tabs>
        <w:jc w:val="both"/>
        <w:rPr>
          <w:rFonts w:ascii="Arial" w:hAnsi="Arial" w:cs="Arial"/>
          <w:sz w:val="22"/>
          <w:szCs w:val="22"/>
        </w:rPr>
      </w:pPr>
      <w:r w:rsidRPr="001772DE">
        <w:rPr>
          <w:rFonts w:ascii="Arial" w:hAnsi="Arial" w:cs="Arial"/>
          <w:sz w:val="22"/>
          <w:szCs w:val="22"/>
        </w:rPr>
        <w:t>This is especially important where assessment components test different skills. An MCQ component may assess recognition, recall and application in one format, while an SAQ component may assess written reasoning, explanation, prioritisation, mechanism or clinical interpretation. If students receive only a final weighted mark, they may not know whether difficulty lay in content knowledge, written response construction, time pressure, digital workflow or a specific assessment component.</w:t>
      </w:r>
    </w:p>
    <w:p w14:paraId="708FDCA8" w14:textId="77777777" w:rsidR="001772DE" w:rsidRPr="001772DE" w:rsidRDefault="001772DE" w:rsidP="001772DE">
      <w:pPr>
        <w:tabs>
          <w:tab w:val="left" w:pos="1337"/>
        </w:tabs>
        <w:jc w:val="both"/>
        <w:rPr>
          <w:rFonts w:ascii="Arial" w:hAnsi="Arial" w:cs="Arial"/>
          <w:sz w:val="22"/>
          <w:szCs w:val="22"/>
        </w:rPr>
      </w:pPr>
      <w:r w:rsidRPr="001772DE">
        <w:rPr>
          <w:rFonts w:ascii="Arial" w:hAnsi="Arial" w:cs="Arial"/>
          <w:sz w:val="22"/>
          <w:szCs w:val="22"/>
        </w:rPr>
        <w:t>Post-assessment information should therefore be understood as part of assessment for learning, not only as administrative reporting. Component marks help students identify whether difficulty lay in recall, written reasoning, timing, clinical application or format. Cohort-level statistics help students contextualise their performance and help convenors review whether the assessment behaved as expected. A moderation or standard-setting statement helps clarify whether the released mark reflects raw scoring only or a reviewed process. A feedback or script-review pathway turns assessment information into learning.</w:t>
      </w:r>
    </w:p>
    <w:p w14:paraId="5A111CD4" w14:textId="77777777" w:rsidR="001772DE" w:rsidRPr="001772DE" w:rsidRDefault="001772DE" w:rsidP="001772DE">
      <w:pPr>
        <w:tabs>
          <w:tab w:val="left" w:pos="1337"/>
        </w:tabs>
        <w:jc w:val="both"/>
        <w:rPr>
          <w:rFonts w:ascii="Arial" w:hAnsi="Arial" w:cs="Arial"/>
          <w:sz w:val="22"/>
          <w:szCs w:val="22"/>
        </w:rPr>
      </w:pPr>
      <w:r w:rsidRPr="001772DE">
        <w:rPr>
          <w:rFonts w:ascii="Arial" w:hAnsi="Arial" w:cs="Arial"/>
          <w:sz w:val="22"/>
          <w:szCs w:val="22"/>
        </w:rPr>
        <w:t>This does not require disclosure of confidential memoranda, reusable questions, item-level psychometric data or internal deliberations. Rather, the programme should agree on what information students can ordinarily expect after major summative assessments, and where variation is justified by cohort size, clinical rotation structure, assessment format or feasibility.</w:t>
      </w:r>
    </w:p>
    <w:p w14:paraId="5D8BDE56" w14:textId="4237110D" w:rsidR="001772DE" w:rsidRPr="001772DE" w:rsidRDefault="001772DE" w:rsidP="001772DE">
      <w:pPr>
        <w:tabs>
          <w:tab w:val="left" w:pos="1337"/>
        </w:tabs>
        <w:jc w:val="both"/>
        <w:rPr>
          <w:rFonts w:ascii="Arial" w:hAnsi="Arial" w:cs="Arial"/>
          <w:sz w:val="22"/>
          <w:szCs w:val="22"/>
        </w:rPr>
      </w:pPr>
      <w:r w:rsidRPr="001772DE">
        <w:rPr>
          <w:rFonts w:ascii="Arial" w:hAnsi="Arial" w:cs="Arial"/>
          <w:sz w:val="22"/>
          <w:szCs w:val="22"/>
        </w:rPr>
        <w:t xml:space="preserve">For large summative assessments, the suggested minimum information set is provided in </w:t>
      </w:r>
      <w:hyperlink w:anchor="_Appendix_C:_Suggested" w:history="1">
        <w:r w:rsidRPr="001772DE">
          <w:rPr>
            <w:rStyle w:val="Hyperlink"/>
            <w:rFonts w:ascii="Arial" w:hAnsi="Arial" w:cs="Arial"/>
            <w:sz w:val="22"/>
            <w:szCs w:val="22"/>
          </w:rPr>
          <w:t>Appendix C</w:t>
        </w:r>
      </w:hyperlink>
      <w:r w:rsidRPr="001772DE">
        <w:rPr>
          <w:rFonts w:ascii="Arial" w:hAnsi="Arial" w:cs="Arial"/>
          <w:sz w:val="22"/>
          <w:szCs w:val="22"/>
        </w:rPr>
        <w:t>. This includes final mark, component marks where applicable, weighting and final mark construction, cohort-level statistics, outcome-level information on removed or adjusted questions, moderation or standard-setting statements where relevant, and a feedback or script-review pathway.</w:t>
      </w:r>
    </w:p>
    <w:p w14:paraId="59DD639B" w14:textId="77777777" w:rsidR="001772DE" w:rsidRPr="001772DE" w:rsidRDefault="001772DE" w:rsidP="001772DE">
      <w:pPr>
        <w:tabs>
          <w:tab w:val="left" w:pos="1337"/>
        </w:tabs>
        <w:jc w:val="both"/>
        <w:rPr>
          <w:rFonts w:ascii="Arial" w:hAnsi="Arial" w:cs="Arial"/>
          <w:sz w:val="22"/>
          <w:szCs w:val="22"/>
        </w:rPr>
      </w:pPr>
      <w:r w:rsidRPr="001772DE">
        <w:rPr>
          <w:rFonts w:ascii="Arial" w:hAnsi="Arial" w:cs="Arial"/>
          <w:sz w:val="22"/>
          <w:szCs w:val="22"/>
        </w:rPr>
        <w:t xml:space="preserve">Where feasible, a standardised </w:t>
      </w:r>
      <w:proofErr w:type="spellStart"/>
      <w:r w:rsidRPr="001772DE">
        <w:rPr>
          <w:rFonts w:ascii="Arial" w:hAnsi="Arial" w:cs="Arial"/>
          <w:sz w:val="22"/>
          <w:szCs w:val="22"/>
        </w:rPr>
        <w:t>Amathuba</w:t>
      </w:r>
      <w:proofErr w:type="spellEnd"/>
      <w:r w:rsidRPr="001772DE">
        <w:rPr>
          <w:rFonts w:ascii="Arial" w:hAnsi="Arial" w:cs="Arial"/>
          <w:sz w:val="22"/>
          <w:szCs w:val="22"/>
        </w:rPr>
        <w:t xml:space="preserve"> post-assessment announcement template could be developed so that courses communicate results, component marks, cohort-level statistics and feedback pathways in a consistent format while retaining course-specific flexibility.</w:t>
      </w:r>
    </w:p>
    <w:p w14:paraId="5B2D7037" w14:textId="606ADA05" w:rsidR="00132E01" w:rsidRPr="0002408C" w:rsidRDefault="00541D2B" w:rsidP="00132E01">
      <w:pPr>
        <w:pStyle w:val="Heading1"/>
        <w:rPr>
          <w:rFonts w:ascii="Gill Sans MT" w:hAnsi="Gill Sans MT"/>
          <w:b/>
          <w:bCs/>
          <w:color w:val="002060"/>
        </w:rPr>
      </w:pPr>
      <w:bookmarkStart w:id="8" w:name="_Toc229519669"/>
      <w:r w:rsidRPr="0002408C">
        <w:rPr>
          <w:rFonts w:ascii="Gill Sans MT" w:hAnsi="Gill Sans MT"/>
          <w:b/>
          <w:bCs/>
          <w:color w:val="002060"/>
        </w:rPr>
        <w:t xml:space="preserve">8. </w:t>
      </w:r>
      <w:r w:rsidR="00132E01" w:rsidRPr="0002408C">
        <w:rPr>
          <w:rFonts w:ascii="Gill Sans MT" w:hAnsi="Gill Sans MT"/>
          <w:b/>
          <w:bCs/>
          <w:color w:val="002060"/>
        </w:rPr>
        <w:t>Assessment Weighting and Formative Opportunity</w:t>
      </w:r>
      <w:bookmarkEnd w:id="8"/>
    </w:p>
    <w:p w14:paraId="3E51E8E2" w14:textId="77777777" w:rsidR="00D17FB3" w:rsidRPr="00D17FB3" w:rsidRDefault="00D17FB3" w:rsidP="00D17FB3">
      <w:pPr>
        <w:jc w:val="both"/>
        <w:rPr>
          <w:rFonts w:ascii="Arial" w:hAnsi="Arial" w:cs="Arial"/>
          <w:sz w:val="22"/>
          <w:szCs w:val="22"/>
        </w:rPr>
      </w:pPr>
      <w:r w:rsidRPr="00D17FB3">
        <w:rPr>
          <w:rFonts w:ascii="Arial" w:hAnsi="Arial" w:cs="Arial"/>
          <w:sz w:val="22"/>
          <w:szCs w:val="22"/>
        </w:rPr>
        <w:t>The Year 3 IHS transition also raises a broader question about how assessment weightings and formative opportunities are distributed within courses. This memorandum focuses primarily on computer-based SAQs and written assessment workflows, but the same principle applies across assessment formats: the higher the stakes of an assessment, the stronger the need for prior exposure, feedback and clarity about expectations.</w:t>
      </w:r>
    </w:p>
    <w:p w14:paraId="67600003" w14:textId="77777777" w:rsidR="00D17FB3" w:rsidRPr="00D17FB3" w:rsidRDefault="00D17FB3" w:rsidP="00D17FB3">
      <w:pPr>
        <w:jc w:val="both"/>
        <w:rPr>
          <w:rFonts w:ascii="Arial" w:hAnsi="Arial" w:cs="Arial"/>
          <w:sz w:val="22"/>
          <w:szCs w:val="22"/>
        </w:rPr>
      </w:pPr>
      <w:r w:rsidRPr="00D17FB3">
        <w:rPr>
          <w:rFonts w:ascii="Arial" w:hAnsi="Arial" w:cs="Arial"/>
          <w:sz w:val="22"/>
          <w:szCs w:val="22"/>
        </w:rPr>
        <w:lastRenderedPageBreak/>
        <w:t>Where a new format is introduced, its weighting should be considered carefully. A high-stakes summative assessment should ideally not be the first meaningful opportunity students have to practise the task type, platform or response format. This is particularly important in blocks where a large proportion of the final mark is concentrated in one end-of-block assessment. Concentrated weighting may be feasible in some contexts, but it increases the consequences of format unfamiliarity, technical problems, ambiguous expectations or limited formative feedback.</w:t>
      </w:r>
    </w:p>
    <w:p w14:paraId="68ED7217" w14:textId="77777777" w:rsidR="00D17FB3" w:rsidRPr="00D17FB3" w:rsidRDefault="00D17FB3" w:rsidP="00D17FB3">
      <w:pPr>
        <w:jc w:val="both"/>
        <w:rPr>
          <w:rFonts w:ascii="Arial" w:hAnsi="Arial" w:cs="Arial"/>
          <w:sz w:val="22"/>
          <w:szCs w:val="22"/>
        </w:rPr>
      </w:pPr>
      <w:r w:rsidRPr="00D17FB3">
        <w:rPr>
          <w:rFonts w:ascii="Arial" w:hAnsi="Arial" w:cs="Arial"/>
          <w:sz w:val="22"/>
          <w:szCs w:val="22"/>
        </w:rPr>
        <w:t>The programme may therefore benefit from shared discussion on how courses balance formative and summative assessment. This does not require identical weighting across courses. Some variation will be necessary because of course length, clinical exposure, portfolio requirements, workplace-based assessment opportunities and discipline-specific outcomes. However, courses should be able to explain how students are prepared for summative tasks and how in-course assessments, assignments, portfolios or feedback opportunities contribute to learning before final mark decisions are made.</w:t>
      </w:r>
    </w:p>
    <w:p w14:paraId="783ED7FC" w14:textId="77777777" w:rsidR="00D17FB3" w:rsidRPr="00D17FB3" w:rsidRDefault="00D17FB3" w:rsidP="00D17FB3">
      <w:pPr>
        <w:jc w:val="both"/>
        <w:rPr>
          <w:rFonts w:ascii="Arial" w:hAnsi="Arial" w:cs="Arial"/>
          <w:sz w:val="22"/>
          <w:szCs w:val="22"/>
        </w:rPr>
      </w:pPr>
      <w:r w:rsidRPr="00D17FB3">
        <w:rPr>
          <w:rFonts w:ascii="Arial" w:hAnsi="Arial" w:cs="Arial"/>
          <w:sz w:val="22"/>
          <w:szCs w:val="22"/>
        </w:rPr>
        <w:t>Portfolio-based assessment may require particular attention. If portfolios are used mainly as evidence of engagement or reflection, the grading system should be clear enough for students to understand what quality looks like. If portfolios are intended to support learning, students need feedback before final submission or final grading; otherwise, the portfolio becomes a summative archive rather than a learning tool.</w:t>
      </w:r>
    </w:p>
    <w:p w14:paraId="1DF0D383" w14:textId="77777777" w:rsidR="00D17FB3" w:rsidRPr="00D17FB3" w:rsidRDefault="00D17FB3" w:rsidP="00D17FB3">
      <w:pPr>
        <w:jc w:val="both"/>
        <w:rPr>
          <w:rFonts w:ascii="Arial" w:hAnsi="Arial" w:cs="Arial"/>
          <w:sz w:val="22"/>
          <w:szCs w:val="22"/>
        </w:rPr>
      </w:pPr>
      <w:r w:rsidRPr="00D17FB3">
        <w:rPr>
          <w:rFonts w:ascii="Arial" w:hAnsi="Arial" w:cs="Arial"/>
          <w:sz w:val="22"/>
          <w:szCs w:val="22"/>
        </w:rPr>
        <w:t>The practical recommendation is not that the programme imposes one weighting formula across all courses. Rather, the MBChB programme should consider developing shared principles for assessment weighting, formative opportunity and portfolio feedback, particularly in blocks where a single summative assessment carries substantial weight. These principles would help ensure that students are assessed on learning they have had reasonable opportunity to practise, receive feedback on and improve.</w:t>
      </w:r>
    </w:p>
    <w:p w14:paraId="5549869D" w14:textId="0DCFAA9B" w:rsidR="00541D2B" w:rsidRPr="0002408C" w:rsidRDefault="00D17FB3" w:rsidP="00D75CA1">
      <w:pPr>
        <w:pStyle w:val="Heading1"/>
        <w:rPr>
          <w:rFonts w:ascii="Gill Sans MT" w:hAnsi="Gill Sans MT" w:cs="Arial"/>
          <w:b/>
          <w:bCs/>
          <w:color w:val="002060"/>
        </w:rPr>
      </w:pPr>
      <w:bookmarkStart w:id="9" w:name="_Toc229519670"/>
      <w:r w:rsidRPr="0002408C">
        <w:rPr>
          <w:rFonts w:ascii="Gill Sans MT" w:hAnsi="Gill Sans MT" w:cs="Arial"/>
          <w:b/>
          <w:bCs/>
          <w:color w:val="002060"/>
        </w:rPr>
        <w:t xml:space="preserve">9. </w:t>
      </w:r>
      <w:r w:rsidR="00541D2B" w:rsidRPr="0002408C">
        <w:rPr>
          <w:rFonts w:ascii="Gill Sans MT" w:hAnsi="Gill Sans MT" w:cs="Arial"/>
          <w:b/>
          <w:bCs/>
          <w:color w:val="002060"/>
        </w:rPr>
        <w:t>A Minimum Viable MBChB Assessment Workflow</w:t>
      </w:r>
      <w:bookmarkEnd w:id="9"/>
    </w:p>
    <w:p w14:paraId="2C36174E" w14:textId="77777777" w:rsidR="00E13A26" w:rsidRDefault="00F41C36" w:rsidP="009E26B1">
      <w:pPr>
        <w:tabs>
          <w:tab w:val="left" w:pos="1337"/>
        </w:tabs>
        <w:jc w:val="both"/>
        <w:rPr>
          <w:rFonts w:ascii="Arial" w:hAnsi="Arial" w:cs="Arial"/>
          <w:sz w:val="22"/>
          <w:szCs w:val="22"/>
        </w:rPr>
      </w:pPr>
      <w:r w:rsidRPr="00F41C36">
        <w:rPr>
          <w:rFonts w:ascii="Arial" w:hAnsi="Arial" w:cs="Arial"/>
          <w:sz w:val="22"/>
          <w:szCs w:val="22"/>
        </w:rPr>
        <w:t>The Year 3 IHS transition shows why assessment change needs a clear workflow, not only a decision about format. When a course changes modality, weighting, platform, marking process or post-assessment communication, several parts of the assessment system are affected at once. Students need to know how to prepare; convenors need to know whether the assessment is aligned, deliverable and reviewable; programme leadership needs a way to identify which issues are course-specific and which require broader agreement.</w:t>
      </w:r>
    </w:p>
    <w:p w14:paraId="2A4595B8" w14:textId="3228C4F5" w:rsidR="00F41C36" w:rsidRPr="00F41C36" w:rsidRDefault="00E13A26" w:rsidP="009E26B1">
      <w:pPr>
        <w:tabs>
          <w:tab w:val="left" w:pos="1337"/>
        </w:tabs>
        <w:jc w:val="both"/>
        <w:rPr>
          <w:rFonts w:ascii="Arial" w:hAnsi="Arial" w:cs="Arial"/>
          <w:sz w:val="22"/>
          <w:szCs w:val="22"/>
        </w:rPr>
      </w:pPr>
      <w:r w:rsidRPr="00E13A26">
        <w:rPr>
          <w:rFonts w:ascii="Arial" w:hAnsi="Arial" w:cs="Arial"/>
          <w:sz w:val="22"/>
          <w:szCs w:val="22"/>
        </w:rPr>
        <w:t>A workflow is useful because it gives the programme a common language for thinking through these linked decisions. It does not replace the academic judgement of convenors, departments or assessment teams. Rather, it helps make visible the sequence of decisions that already sit around good assessment practice: planning the assessment, preparing students, delivering it consistently, reviewing outcomes, communicating results, and using what is learned to improve the next sitting.</w:t>
      </w:r>
    </w:p>
    <w:p w14:paraId="44DF1C56" w14:textId="57EA5A30" w:rsidR="00635F49" w:rsidRPr="00635F49" w:rsidRDefault="00635F49" w:rsidP="009E26B1">
      <w:pPr>
        <w:tabs>
          <w:tab w:val="left" w:pos="1337"/>
        </w:tabs>
        <w:jc w:val="both"/>
        <w:rPr>
          <w:rFonts w:ascii="Arial" w:hAnsi="Arial" w:cs="Arial"/>
          <w:sz w:val="22"/>
          <w:szCs w:val="22"/>
        </w:rPr>
      </w:pPr>
    </w:p>
    <w:p w14:paraId="73E64115" w14:textId="7413262B" w:rsidR="00635F49" w:rsidRDefault="001C4C82" w:rsidP="009E26B1">
      <w:pPr>
        <w:tabs>
          <w:tab w:val="left" w:pos="1337"/>
        </w:tabs>
        <w:jc w:val="both"/>
        <w:rPr>
          <w:rFonts w:ascii="Arial" w:hAnsi="Arial" w:cs="Arial"/>
          <w:i/>
          <w:iCs/>
          <w:sz w:val="22"/>
          <w:szCs w:val="22"/>
        </w:rPr>
      </w:pPr>
      <w:r>
        <w:rPr>
          <w:rFonts w:ascii="Arial" w:hAnsi="Arial" w:cs="Arial"/>
          <w:i/>
          <w:iCs/>
          <w:noProof/>
          <w:sz w:val="22"/>
          <w:szCs w:val="22"/>
        </w:rPr>
        <w:lastRenderedPageBreak/>
        <w:drawing>
          <wp:anchor distT="0" distB="0" distL="114300" distR="114300" simplePos="0" relativeHeight="251660288" behindDoc="0" locked="0" layoutInCell="1" allowOverlap="1" wp14:anchorId="1131F51B" wp14:editId="0DAAF4EE">
            <wp:simplePos x="0" y="0"/>
            <wp:positionH relativeFrom="margin">
              <wp:align>center</wp:align>
            </wp:positionH>
            <wp:positionV relativeFrom="paragraph">
              <wp:posOffset>-71</wp:posOffset>
            </wp:positionV>
            <wp:extent cx="7755646" cy="5818078"/>
            <wp:effectExtent l="0" t="0" r="0" b="0"/>
            <wp:wrapTopAndBottom/>
            <wp:docPr id="4709119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55646" cy="5818078"/>
                    </a:xfrm>
                    <a:prstGeom prst="rect">
                      <a:avLst/>
                    </a:prstGeom>
                    <a:noFill/>
                    <a:ln>
                      <a:noFill/>
                    </a:ln>
                  </pic:spPr>
                </pic:pic>
              </a:graphicData>
            </a:graphic>
          </wp:anchor>
        </w:drawing>
      </w:r>
    </w:p>
    <w:p w14:paraId="1FC18E29" w14:textId="2E7B4601" w:rsidR="00482B71" w:rsidRPr="00482B71" w:rsidRDefault="00482B71" w:rsidP="009E26B1">
      <w:pPr>
        <w:tabs>
          <w:tab w:val="left" w:pos="1337"/>
        </w:tabs>
        <w:jc w:val="both"/>
        <w:rPr>
          <w:rFonts w:ascii="Arial" w:hAnsi="Arial" w:cs="Arial"/>
          <w:sz w:val="22"/>
          <w:szCs w:val="22"/>
        </w:rPr>
      </w:pPr>
      <w:r w:rsidRPr="009E26B1">
        <w:rPr>
          <w:rFonts w:ascii="Arial" w:hAnsi="Arial" w:cs="Arial"/>
          <w:i/>
          <w:iCs/>
          <w:sz w:val="22"/>
          <w:szCs w:val="22"/>
        </w:rPr>
        <w:lastRenderedPageBreak/>
        <w:t>Figure 1</w:t>
      </w:r>
      <w:r w:rsidRPr="00482B71">
        <w:rPr>
          <w:rFonts w:ascii="Arial" w:hAnsi="Arial" w:cs="Arial"/>
          <w:sz w:val="22"/>
          <w:szCs w:val="22"/>
        </w:rPr>
        <w:t xml:space="preserve"> presents this process as a cycle because assessment should not be treated as a once-off event that ends when marks are released. For convenors, the cycle can function as a planning and review prompt: Have we chosen the right modality? Have students had adequate preparation? Have timing, weighting and digital workflow been considered together? Do we have a process for delivery issues? What information will students receive after marks are released? For students, the cycle clarifies what safeguards should reasonably surround assessment change: preparation before the sitting, consistent delivery during the sitting, and enough information afterwards to understand performance and learn from it.</w:t>
      </w:r>
    </w:p>
    <w:p w14:paraId="5F77708B" w14:textId="77777777" w:rsidR="00482B71" w:rsidRPr="00482B71" w:rsidRDefault="00482B71" w:rsidP="009E26B1">
      <w:pPr>
        <w:tabs>
          <w:tab w:val="left" w:pos="1337"/>
        </w:tabs>
        <w:jc w:val="both"/>
        <w:rPr>
          <w:rFonts w:ascii="Arial" w:hAnsi="Arial" w:cs="Arial"/>
          <w:sz w:val="22"/>
          <w:szCs w:val="22"/>
        </w:rPr>
      </w:pPr>
      <w:r w:rsidRPr="00482B71">
        <w:rPr>
          <w:rFonts w:ascii="Arial" w:hAnsi="Arial" w:cs="Arial"/>
          <w:sz w:val="22"/>
          <w:szCs w:val="22"/>
        </w:rPr>
        <w:t>The value of the model is its proportionality. A small clinical rotation may only need a light version of the workflow, while a large integrated course, high-stakes summative assessment or newly digitised format may need more explicit planning and documentation. The aim is therefore not to make all assessments identical. It is to support shared programme-level expectations while allowing justified variation according to discipline, cohort size, venue constraints, assessment purpose and available resources.</w:t>
      </w:r>
    </w:p>
    <w:p w14:paraId="04256070" w14:textId="77777777" w:rsidR="00482B71" w:rsidRPr="00482B71" w:rsidRDefault="00482B71" w:rsidP="009E26B1">
      <w:pPr>
        <w:tabs>
          <w:tab w:val="left" w:pos="1337"/>
        </w:tabs>
        <w:jc w:val="both"/>
        <w:rPr>
          <w:rFonts w:ascii="Arial" w:hAnsi="Arial" w:cs="Arial"/>
          <w:sz w:val="22"/>
          <w:szCs w:val="22"/>
        </w:rPr>
      </w:pPr>
      <w:r w:rsidRPr="00482B71">
        <w:rPr>
          <w:rFonts w:ascii="Arial" w:hAnsi="Arial" w:cs="Arial"/>
          <w:sz w:val="22"/>
          <w:szCs w:val="22"/>
        </w:rPr>
        <w:t>The workflow is also useful for distinguishing what belongs where. Some processes should remain internal to course teams, such as detailed marking deliberations, item-level analysis or standard-setting calculations. Other information should be communicated to students, such as assessment format, preparation expectations, component marks where feasible, cohort-level statistics where appropriate, and feedback or review pathways. This distinction helps protect assessment integrity while improving assessment literacy and trust.</w:t>
      </w:r>
    </w:p>
    <w:p w14:paraId="28F1574B" w14:textId="6D67E524" w:rsidR="00482B71" w:rsidRPr="00482B71" w:rsidRDefault="00482B71" w:rsidP="009E26B1">
      <w:pPr>
        <w:tabs>
          <w:tab w:val="left" w:pos="1337"/>
        </w:tabs>
        <w:jc w:val="both"/>
        <w:rPr>
          <w:rFonts w:ascii="Arial" w:hAnsi="Arial" w:cs="Arial"/>
          <w:sz w:val="22"/>
          <w:szCs w:val="22"/>
        </w:rPr>
      </w:pPr>
      <w:r w:rsidRPr="00482B71">
        <w:rPr>
          <w:rFonts w:ascii="Arial" w:hAnsi="Arial" w:cs="Arial"/>
          <w:sz w:val="22"/>
          <w:szCs w:val="22"/>
        </w:rPr>
        <w:t>The appendices translate the workflow into practical tools.</w:t>
      </w:r>
      <w:r w:rsidR="009E26B1">
        <w:rPr>
          <w:rFonts w:ascii="Arial" w:hAnsi="Arial" w:cs="Arial"/>
          <w:sz w:val="22"/>
          <w:szCs w:val="22"/>
        </w:rPr>
        <w:t xml:space="preserve"> </w:t>
      </w:r>
      <w:r w:rsidR="009E26B1" w:rsidRPr="00132C4B">
        <w:rPr>
          <w:rFonts w:ascii="Arial" w:hAnsi="Arial" w:cs="Arial"/>
          <w:sz w:val="22"/>
          <w:szCs w:val="22"/>
        </w:rPr>
        <w:t xml:space="preserve"> </w:t>
      </w:r>
      <w:hyperlink w:anchor="_Appendix_A:_Digital" w:history="1">
        <w:r w:rsidR="009E26B1" w:rsidRPr="00522DFB">
          <w:rPr>
            <w:rStyle w:val="Hyperlink"/>
            <w:rFonts w:ascii="Arial" w:hAnsi="Arial" w:cs="Arial"/>
            <w:sz w:val="22"/>
            <w:szCs w:val="22"/>
          </w:rPr>
          <w:t>Appe</w:t>
        </w:r>
        <w:r w:rsidR="009E26B1" w:rsidRPr="00522DFB">
          <w:rPr>
            <w:rStyle w:val="Hyperlink"/>
            <w:rFonts w:ascii="Arial" w:hAnsi="Arial" w:cs="Arial"/>
            <w:sz w:val="22"/>
            <w:szCs w:val="22"/>
          </w:rPr>
          <w:t>n</w:t>
        </w:r>
        <w:r w:rsidR="009E26B1" w:rsidRPr="00522DFB">
          <w:rPr>
            <w:rStyle w:val="Hyperlink"/>
            <w:rFonts w:ascii="Arial" w:hAnsi="Arial" w:cs="Arial"/>
            <w:sz w:val="22"/>
            <w:szCs w:val="22"/>
          </w:rPr>
          <w:t>dix A</w:t>
        </w:r>
      </w:hyperlink>
      <w:r w:rsidR="009E26B1" w:rsidRPr="00132C4B">
        <w:rPr>
          <w:rFonts w:ascii="Arial" w:hAnsi="Arial" w:cs="Arial"/>
          <w:sz w:val="22"/>
          <w:szCs w:val="22"/>
        </w:rPr>
        <w:t xml:space="preserve"> offers a pre-release design checklist for computer-based SAQs. </w:t>
      </w:r>
      <w:hyperlink w:anchor="_Appendix_B:_SAQ" w:history="1">
        <w:r w:rsidR="009E26B1" w:rsidRPr="00522DFB">
          <w:rPr>
            <w:rStyle w:val="Hyperlink"/>
            <w:rFonts w:ascii="Arial" w:hAnsi="Arial" w:cs="Arial"/>
            <w:sz w:val="22"/>
            <w:szCs w:val="22"/>
          </w:rPr>
          <w:t>Appendix B</w:t>
        </w:r>
      </w:hyperlink>
      <w:r w:rsidR="009E26B1" w:rsidRPr="00132C4B">
        <w:rPr>
          <w:rFonts w:ascii="Arial" w:hAnsi="Arial" w:cs="Arial"/>
          <w:sz w:val="22"/>
          <w:szCs w:val="22"/>
        </w:rPr>
        <w:t xml:space="preserve"> offers a complexity and timing review matrix. </w:t>
      </w:r>
      <w:hyperlink w:anchor="_Appendix_C:_Suggested" w:history="1">
        <w:r w:rsidR="009E26B1" w:rsidRPr="00522DFB">
          <w:rPr>
            <w:rStyle w:val="Hyperlink"/>
            <w:rFonts w:ascii="Arial" w:hAnsi="Arial" w:cs="Arial"/>
            <w:sz w:val="22"/>
            <w:szCs w:val="22"/>
          </w:rPr>
          <w:t>Appendix C</w:t>
        </w:r>
      </w:hyperlink>
      <w:r w:rsidR="009E26B1" w:rsidRPr="00132C4B">
        <w:rPr>
          <w:rFonts w:ascii="Arial" w:hAnsi="Arial" w:cs="Arial"/>
          <w:sz w:val="22"/>
          <w:szCs w:val="22"/>
        </w:rPr>
        <w:t xml:space="preserve"> proposes a student-facing post-assessment information set. </w:t>
      </w:r>
      <w:hyperlink w:anchor="_Appendix_D:_Minimum" w:history="1">
        <w:r w:rsidR="009E26B1" w:rsidRPr="00522DFB">
          <w:rPr>
            <w:rStyle w:val="Hyperlink"/>
            <w:rFonts w:ascii="Arial" w:hAnsi="Arial" w:cs="Arial"/>
            <w:sz w:val="22"/>
            <w:szCs w:val="22"/>
          </w:rPr>
          <w:t>Appendix D</w:t>
        </w:r>
      </w:hyperlink>
      <w:r w:rsidR="009E26B1" w:rsidRPr="00132C4B">
        <w:rPr>
          <w:rFonts w:ascii="Arial" w:hAnsi="Arial" w:cs="Arial"/>
          <w:sz w:val="22"/>
          <w:szCs w:val="22"/>
        </w:rPr>
        <w:t xml:space="preserve"> provides the fuller minimum viable assessment workflow template</w:t>
      </w:r>
      <w:r w:rsidR="009E26B1">
        <w:rPr>
          <w:rFonts w:ascii="Arial" w:hAnsi="Arial" w:cs="Arial"/>
          <w:sz w:val="22"/>
          <w:szCs w:val="22"/>
        </w:rPr>
        <w:t>/</w:t>
      </w:r>
      <w:r w:rsidRPr="00482B71">
        <w:rPr>
          <w:rFonts w:ascii="Arial" w:hAnsi="Arial" w:cs="Arial"/>
          <w:sz w:val="22"/>
          <w:szCs w:val="22"/>
        </w:rPr>
        <w:t xml:space="preserve"> Together, these tools are intended to support future assessment changes in a way that is planned, documented, feasible for staff and useful for student learning.</w:t>
      </w:r>
    </w:p>
    <w:p w14:paraId="0D2C0657" w14:textId="5DE2C7C2" w:rsidR="00541D2B" w:rsidRPr="0002408C" w:rsidRDefault="003725B0" w:rsidP="00D75CA1">
      <w:pPr>
        <w:pStyle w:val="Heading1"/>
        <w:rPr>
          <w:rFonts w:ascii="Gill Sans MT" w:hAnsi="Gill Sans MT" w:cs="Arial"/>
          <w:b/>
          <w:bCs/>
          <w:color w:val="002060"/>
        </w:rPr>
      </w:pPr>
      <w:bookmarkStart w:id="10" w:name="_Toc229519671"/>
      <w:r w:rsidRPr="0002408C">
        <w:rPr>
          <w:rFonts w:ascii="Gill Sans MT" w:hAnsi="Gill Sans MT" w:cs="Arial"/>
          <w:b/>
          <w:bCs/>
          <w:color w:val="002060"/>
        </w:rPr>
        <w:t>10.</w:t>
      </w:r>
      <w:r w:rsidR="00541D2B" w:rsidRPr="0002408C">
        <w:rPr>
          <w:rFonts w:ascii="Gill Sans MT" w:hAnsi="Gill Sans MT" w:cs="Arial"/>
          <w:b/>
          <w:bCs/>
          <w:color w:val="002060"/>
        </w:rPr>
        <w:t xml:space="preserve"> Summary Recommendations</w:t>
      </w:r>
      <w:bookmarkEnd w:id="10"/>
    </w:p>
    <w:p w14:paraId="6CFBE2E9" w14:textId="77777777" w:rsidR="00541D2B" w:rsidRPr="005F4A6C" w:rsidRDefault="00541D2B" w:rsidP="00541D2B">
      <w:pPr>
        <w:tabs>
          <w:tab w:val="left" w:pos="1337"/>
        </w:tabs>
        <w:rPr>
          <w:rFonts w:ascii="Arial" w:hAnsi="Arial" w:cs="Arial"/>
          <w:sz w:val="22"/>
          <w:szCs w:val="22"/>
        </w:rPr>
      </w:pPr>
      <w:r w:rsidRPr="005F4A6C">
        <w:rPr>
          <w:rFonts w:ascii="Arial" w:hAnsi="Arial" w:cs="Arial"/>
          <w:sz w:val="22"/>
          <w:szCs w:val="22"/>
        </w:rPr>
        <w:t>The Year 3 IHS transition should be used as a constructive case study for strengthening assessment workflow across the MBChB programme. The aim is not to reverse the move toward computer-based assessment. The aim is to ensure that future implementation is coherent, appropriately scaffolded and supported by clear assessment design and communication processes.</w:t>
      </w:r>
    </w:p>
    <w:p w14:paraId="163D0466" w14:textId="77777777" w:rsidR="00541D2B" w:rsidRPr="00AD7617" w:rsidRDefault="00541D2B" w:rsidP="00541D2B">
      <w:pPr>
        <w:tabs>
          <w:tab w:val="left" w:pos="1337"/>
        </w:tabs>
        <w:rPr>
          <w:rFonts w:ascii="Arial" w:hAnsi="Arial" w:cs="Arial"/>
          <w:b/>
          <w:bCs/>
          <w:sz w:val="22"/>
          <w:szCs w:val="22"/>
          <w:u w:val="single"/>
        </w:rPr>
      </w:pPr>
      <w:r w:rsidRPr="00AD7617">
        <w:rPr>
          <w:rFonts w:ascii="Arial" w:hAnsi="Arial" w:cs="Arial"/>
          <w:b/>
          <w:bCs/>
          <w:sz w:val="22"/>
          <w:szCs w:val="22"/>
          <w:u w:val="single"/>
        </w:rPr>
        <w:t>Programme-level recommendations</w:t>
      </w:r>
    </w:p>
    <w:p w14:paraId="3DDE8B5B" w14:textId="77777777" w:rsidR="00541D2B" w:rsidRPr="005F4A6C" w:rsidRDefault="00541D2B">
      <w:pPr>
        <w:numPr>
          <w:ilvl w:val="0"/>
          <w:numId w:val="2"/>
        </w:numPr>
        <w:tabs>
          <w:tab w:val="left" w:pos="1337"/>
        </w:tabs>
        <w:rPr>
          <w:rFonts w:ascii="Arial" w:hAnsi="Arial" w:cs="Arial"/>
          <w:sz w:val="22"/>
          <w:szCs w:val="22"/>
        </w:rPr>
      </w:pPr>
      <w:r w:rsidRPr="005F4A6C">
        <w:rPr>
          <w:rFonts w:ascii="Arial" w:hAnsi="Arial" w:cs="Arial"/>
          <w:b/>
          <w:bCs/>
          <w:sz w:val="22"/>
          <w:szCs w:val="22"/>
        </w:rPr>
        <w:t>Treat computer-based SAQ assessment as a programme-level transition, not a course-level surprise.</w:t>
      </w:r>
      <w:r w:rsidRPr="005F4A6C">
        <w:rPr>
          <w:rFonts w:ascii="Arial" w:hAnsi="Arial" w:cs="Arial"/>
          <w:sz w:val="22"/>
          <w:szCs w:val="22"/>
        </w:rPr>
        <w:br/>
        <w:t>If typed SAQs are educationally and administratively appropriate, students should encounter them progressively across the curriculum.</w:t>
      </w:r>
    </w:p>
    <w:p w14:paraId="1D94F4C8" w14:textId="77777777" w:rsidR="00541D2B" w:rsidRPr="005F4A6C" w:rsidRDefault="00541D2B">
      <w:pPr>
        <w:numPr>
          <w:ilvl w:val="0"/>
          <w:numId w:val="2"/>
        </w:numPr>
        <w:tabs>
          <w:tab w:val="left" w:pos="1337"/>
        </w:tabs>
        <w:rPr>
          <w:rFonts w:ascii="Arial" w:hAnsi="Arial" w:cs="Arial"/>
          <w:sz w:val="22"/>
          <w:szCs w:val="22"/>
        </w:rPr>
      </w:pPr>
      <w:r w:rsidRPr="005F4A6C">
        <w:rPr>
          <w:rFonts w:ascii="Arial" w:hAnsi="Arial" w:cs="Arial"/>
          <w:b/>
          <w:bCs/>
          <w:sz w:val="22"/>
          <w:szCs w:val="22"/>
        </w:rPr>
        <w:lastRenderedPageBreak/>
        <w:t>Introduce typed SAQs earlier in lower-stakes settings.</w:t>
      </w:r>
      <w:r w:rsidRPr="005F4A6C">
        <w:rPr>
          <w:rFonts w:ascii="Arial" w:hAnsi="Arial" w:cs="Arial"/>
          <w:sz w:val="22"/>
          <w:szCs w:val="22"/>
        </w:rPr>
        <w:br/>
        <w:t>BP/BHP, Human Biology, early IHS and other early written-assessment opportunities could be used to develop timed typed assessment-based reasoning before summative use in later integrated courses.</w:t>
      </w:r>
    </w:p>
    <w:p w14:paraId="767F6482" w14:textId="77777777" w:rsidR="00541D2B" w:rsidRPr="005F4A6C" w:rsidRDefault="00541D2B">
      <w:pPr>
        <w:numPr>
          <w:ilvl w:val="0"/>
          <w:numId w:val="2"/>
        </w:numPr>
        <w:tabs>
          <w:tab w:val="left" w:pos="1337"/>
        </w:tabs>
        <w:rPr>
          <w:rFonts w:ascii="Arial" w:hAnsi="Arial" w:cs="Arial"/>
          <w:sz w:val="22"/>
          <w:szCs w:val="22"/>
        </w:rPr>
      </w:pPr>
      <w:r w:rsidRPr="005F4A6C">
        <w:rPr>
          <w:rFonts w:ascii="Arial" w:hAnsi="Arial" w:cs="Arial"/>
          <w:b/>
          <w:bCs/>
          <w:sz w:val="22"/>
          <w:szCs w:val="22"/>
        </w:rPr>
        <w:t>Pursue standardisation where appropriate and justified variation where necessary.</w:t>
      </w:r>
      <w:r w:rsidRPr="005F4A6C">
        <w:rPr>
          <w:rFonts w:ascii="Arial" w:hAnsi="Arial" w:cs="Arial"/>
          <w:sz w:val="22"/>
          <w:szCs w:val="22"/>
        </w:rPr>
        <w:br/>
        <w:t>Modality choices should be deliberate, educationally justified and clearly communicated. Some courses may reasonably retain paper-based or hybrid formats because of clinical context, cohort size, venue constraints, diagrams, images or marking workflows.</w:t>
      </w:r>
    </w:p>
    <w:p w14:paraId="103FD6DA" w14:textId="77777777" w:rsidR="00541D2B" w:rsidRPr="005F4A6C" w:rsidRDefault="00541D2B">
      <w:pPr>
        <w:numPr>
          <w:ilvl w:val="0"/>
          <w:numId w:val="2"/>
        </w:numPr>
        <w:tabs>
          <w:tab w:val="left" w:pos="1337"/>
        </w:tabs>
        <w:rPr>
          <w:rFonts w:ascii="Arial" w:hAnsi="Arial" w:cs="Arial"/>
          <w:sz w:val="22"/>
          <w:szCs w:val="22"/>
        </w:rPr>
      </w:pPr>
      <w:r w:rsidRPr="005F4A6C">
        <w:rPr>
          <w:rFonts w:ascii="Arial" w:hAnsi="Arial" w:cs="Arial"/>
          <w:b/>
          <w:bCs/>
          <w:sz w:val="22"/>
          <w:szCs w:val="22"/>
        </w:rPr>
        <w:t>Develop a shared MBChB assessment workflow.</w:t>
      </w:r>
      <w:r w:rsidRPr="005F4A6C">
        <w:rPr>
          <w:rFonts w:ascii="Arial" w:hAnsi="Arial" w:cs="Arial"/>
          <w:sz w:val="22"/>
          <w:szCs w:val="22"/>
        </w:rPr>
        <w:br/>
        <w:t>A common before, during, after and review-cycle structure would help courses plan assessments, manage delivery, communicate outcomes and learn from implementation.</w:t>
      </w:r>
    </w:p>
    <w:p w14:paraId="7C2213FA" w14:textId="77777777" w:rsidR="00541D2B" w:rsidRPr="00AD7617" w:rsidRDefault="00541D2B" w:rsidP="00541D2B">
      <w:pPr>
        <w:tabs>
          <w:tab w:val="left" w:pos="1337"/>
        </w:tabs>
        <w:rPr>
          <w:rFonts w:ascii="Arial" w:hAnsi="Arial" w:cs="Arial"/>
          <w:b/>
          <w:bCs/>
          <w:sz w:val="22"/>
          <w:szCs w:val="22"/>
          <w:u w:val="single"/>
        </w:rPr>
      </w:pPr>
      <w:r w:rsidRPr="00AD7617">
        <w:rPr>
          <w:rFonts w:ascii="Arial" w:hAnsi="Arial" w:cs="Arial"/>
          <w:b/>
          <w:bCs/>
          <w:sz w:val="22"/>
          <w:szCs w:val="22"/>
          <w:u w:val="single"/>
        </w:rPr>
        <w:t>Course-level implementation recommendations</w:t>
      </w:r>
    </w:p>
    <w:p w14:paraId="42655329" w14:textId="77777777" w:rsidR="00541D2B" w:rsidRPr="005F4A6C" w:rsidRDefault="00541D2B">
      <w:pPr>
        <w:numPr>
          <w:ilvl w:val="0"/>
          <w:numId w:val="3"/>
        </w:numPr>
        <w:tabs>
          <w:tab w:val="left" w:pos="1337"/>
        </w:tabs>
        <w:rPr>
          <w:rFonts w:ascii="Arial" w:hAnsi="Arial" w:cs="Arial"/>
          <w:sz w:val="22"/>
          <w:szCs w:val="22"/>
        </w:rPr>
      </w:pPr>
      <w:r w:rsidRPr="005F4A6C">
        <w:rPr>
          <w:rFonts w:ascii="Arial" w:hAnsi="Arial" w:cs="Arial"/>
          <w:b/>
          <w:bCs/>
          <w:sz w:val="22"/>
          <w:szCs w:val="22"/>
        </w:rPr>
        <w:t>Develop a minimum design standard for computer-based SAQs.</w:t>
      </w:r>
      <w:r w:rsidRPr="005F4A6C">
        <w:rPr>
          <w:rFonts w:ascii="Arial" w:hAnsi="Arial" w:cs="Arial"/>
          <w:sz w:val="22"/>
          <w:szCs w:val="22"/>
        </w:rPr>
        <w:br/>
        <w:t>This should include vignette visibility, image and investigation legibility, navigation consistency, source-material access, use of scrap paper or source packs, and platform-based review before release.</w:t>
      </w:r>
    </w:p>
    <w:p w14:paraId="443410C1" w14:textId="77777777" w:rsidR="00541D2B" w:rsidRPr="005F4A6C" w:rsidRDefault="00541D2B">
      <w:pPr>
        <w:numPr>
          <w:ilvl w:val="0"/>
          <w:numId w:val="3"/>
        </w:numPr>
        <w:tabs>
          <w:tab w:val="left" w:pos="1337"/>
        </w:tabs>
        <w:rPr>
          <w:rFonts w:ascii="Arial" w:hAnsi="Arial" w:cs="Arial"/>
          <w:sz w:val="22"/>
          <w:szCs w:val="22"/>
        </w:rPr>
      </w:pPr>
      <w:r w:rsidRPr="005F4A6C">
        <w:rPr>
          <w:rFonts w:ascii="Arial" w:hAnsi="Arial" w:cs="Arial"/>
          <w:b/>
          <w:bCs/>
          <w:sz w:val="22"/>
          <w:szCs w:val="22"/>
        </w:rPr>
        <w:t>Use hybrid models where they better support clinical reasoning.</w:t>
      </w:r>
      <w:r w:rsidRPr="005F4A6C">
        <w:rPr>
          <w:rFonts w:ascii="Arial" w:hAnsi="Arial" w:cs="Arial"/>
          <w:sz w:val="22"/>
          <w:szCs w:val="22"/>
        </w:rPr>
        <w:br/>
        <w:t>For dense vignettes, histology, radiology, ECGs, investigation panels or linked questions, printed source packs with digital answer submission may reduce avoidable navigation burden while preserving many benefits of computer-based assessment.</w:t>
      </w:r>
    </w:p>
    <w:p w14:paraId="1C73932F" w14:textId="77777777" w:rsidR="00541D2B" w:rsidRPr="005F4A6C" w:rsidRDefault="00541D2B">
      <w:pPr>
        <w:numPr>
          <w:ilvl w:val="0"/>
          <w:numId w:val="3"/>
        </w:numPr>
        <w:tabs>
          <w:tab w:val="left" w:pos="1337"/>
        </w:tabs>
        <w:rPr>
          <w:rFonts w:ascii="Arial" w:hAnsi="Arial" w:cs="Arial"/>
          <w:sz w:val="22"/>
          <w:szCs w:val="22"/>
        </w:rPr>
      </w:pPr>
      <w:r w:rsidRPr="005F4A6C">
        <w:rPr>
          <w:rFonts w:ascii="Arial" w:hAnsi="Arial" w:cs="Arial"/>
          <w:b/>
          <w:bCs/>
          <w:sz w:val="22"/>
          <w:szCs w:val="22"/>
        </w:rPr>
        <w:t>Review SAQ complexity more explicitly.</w:t>
      </w:r>
      <w:r w:rsidRPr="005F4A6C">
        <w:rPr>
          <w:rFonts w:ascii="Arial" w:hAnsi="Arial" w:cs="Arial"/>
          <w:sz w:val="22"/>
          <w:szCs w:val="22"/>
        </w:rPr>
        <w:br/>
        <w:t>Questions should be reviewed for content difficulty, clinical-context difficulty, stimulus difficulty, cognitive-process difficulty, response-production difficulty, digital-workflow burden and clinical relevance.</w:t>
      </w:r>
    </w:p>
    <w:p w14:paraId="18E2281A" w14:textId="77777777" w:rsidR="00541D2B" w:rsidRDefault="00541D2B">
      <w:pPr>
        <w:numPr>
          <w:ilvl w:val="0"/>
          <w:numId w:val="3"/>
        </w:numPr>
        <w:tabs>
          <w:tab w:val="left" w:pos="1337"/>
        </w:tabs>
        <w:rPr>
          <w:rFonts w:ascii="Arial" w:hAnsi="Arial" w:cs="Arial"/>
          <w:sz w:val="22"/>
          <w:szCs w:val="22"/>
        </w:rPr>
      </w:pPr>
      <w:r w:rsidRPr="005F4A6C">
        <w:rPr>
          <w:rFonts w:ascii="Arial" w:hAnsi="Arial" w:cs="Arial"/>
          <w:b/>
          <w:bCs/>
          <w:sz w:val="22"/>
          <w:szCs w:val="22"/>
        </w:rPr>
        <w:t>Calibrate timing according to task demand, not marks alone.</w:t>
      </w:r>
      <w:r w:rsidRPr="005F4A6C">
        <w:rPr>
          <w:rFonts w:ascii="Arial" w:hAnsi="Arial" w:cs="Arial"/>
          <w:sz w:val="22"/>
          <w:szCs w:val="22"/>
        </w:rPr>
        <w:br/>
        <w:t>Reading time, stimulus interpretation, reasoning, typing, navigation and review time should all be considered. At least one reviewer should complete the assessment on the actual platform under realistic conditions before summative delivery.</w:t>
      </w:r>
    </w:p>
    <w:p w14:paraId="736DAF68" w14:textId="68A7F699" w:rsidR="006C34BE" w:rsidRPr="005F4A6C" w:rsidRDefault="006C34BE">
      <w:pPr>
        <w:numPr>
          <w:ilvl w:val="0"/>
          <w:numId w:val="3"/>
        </w:numPr>
        <w:tabs>
          <w:tab w:val="left" w:pos="1337"/>
        </w:tabs>
        <w:rPr>
          <w:rFonts w:ascii="Arial" w:hAnsi="Arial" w:cs="Arial"/>
          <w:sz w:val="22"/>
          <w:szCs w:val="22"/>
        </w:rPr>
      </w:pPr>
      <w:r w:rsidRPr="006C34BE">
        <w:rPr>
          <w:rFonts w:ascii="Arial" w:hAnsi="Arial" w:cs="Arial"/>
          <w:b/>
          <w:bCs/>
          <w:sz w:val="22"/>
          <w:szCs w:val="22"/>
        </w:rPr>
        <w:t>Clarify portfolio expectations where portfolios contribute to assessment.</w:t>
      </w:r>
      <w:r w:rsidRPr="006C34BE">
        <w:rPr>
          <w:rFonts w:ascii="Arial" w:hAnsi="Arial" w:cs="Arial"/>
          <w:sz w:val="22"/>
          <w:szCs w:val="22"/>
        </w:rPr>
        <w:br/>
        <w:t>Where portfolios are used, students should understand what is being assessed, how quality is judged, whether feedback is formative or summative, and how portfolio evidence contributes to the final mark.</w:t>
      </w:r>
    </w:p>
    <w:p w14:paraId="37291F80" w14:textId="77777777" w:rsidR="00541D2B" w:rsidRPr="00AD7617" w:rsidRDefault="00541D2B" w:rsidP="00541D2B">
      <w:pPr>
        <w:tabs>
          <w:tab w:val="left" w:pos="1337"/>
        </w:tabs>
        <w:rPr>
          <w:rFonts w:ascii="Arial" w:hAnsi="Arial" w:cs="Arial"/>
          <w:b/>
          <w:bCs/>
          <w:sz w:val="22"/>
          <w:szCs w:val="22"/>
          <w:u w:val="single"/>
        </w:rPr>
      </w:pPr>
      <w:r w:rsidRPr="00AD7617">
        <w:rPr>
          <w:rFonts w:ascii="Arial" w:hAnsi="Arial" w:cs="Arial"/>
          <w:b/>
          <w:bCs/>
          <w:sz w:val="22"/>
          <w:szCs w:val="22"/>
          <w:u w:val="single"/>
        </w:rPr>
        <w:t>Post-assessment communication recommendations</w:t>
      </w:r>
    </w:p>
    <w:p w14:paraId="3FAA31DD" w14:textId="1345B063" w:rsidR="00541D2B" w:rsidRPr="006C34BE" w:rsidRDefault="00541D2B">
      <w:pPr>
        <w:pStyle w:val="ListParagraph"/>
        <w:numPr>
          <w:ilvl w:val="0"/>
          <w:numId w:val="3"/>
        </w:numPr>
        <w:tabs>
          <w:tab w:val="left" w:pos="1337"/>
        </w:tabs>
        <w:rPr>
          <w:rFonts w:ascii="Arial" w:hAnsi="Arial" w:cs="Arial"/>
          <w:sz w:val="22"/>
          <w:szCs w:val="22"/>
        </w:rPr>
      </w:pPr>
      <w:r w:rsidRPr="006C34BE">
        <w:rPr>
          <w:rFonts w:ascii="Arial" w:hAnsi="Arial" w:cs="Arial"/>
          <w:b/>
          <w:bCs/>
          <w:sz w:val="22"/>
          <w:szCs w:val="22"/>
        </w:rPr>
        <w:lastRenderedPageBreak/>
        <w:t>Agree on a minimum post-assessment communication package.</w:t>
      </w:r>
      <w:r w:rsidRPr="006C34BE">
        <w:rPr>
          <w:rFonts w:ascii="Arial" w:hAnsi="Arial" w:cs="Arial"/>
          <w:sz w:val="22"/>
          <w:szCs w:val="22"/>
        </w:rPr>
        <w:br/>
        <w:t>For major summative assessments, this could include final mark, component marks where applicable, weighting, basic cohort statistics, whether moderation or standard setting occurred, whether any questions were removed or adjusted, and the available feedback or script-review pathway.</w:t>
      </w:r>
    </w:p>
    <w:p w14:paraId="7F8D4C5A" w14:textId="7A6BAD56" w:rsidR="00541D2B" w:rsidRDefault="00541D2B">
      <w:pPr>
        <w:numPr>
          <w:ilvl w:val="0"/>
          <w:numId w:val="3"/>
        </w:numPr>
        <w:tabs>
          <w:tab w:val="left" w:pos="1337"/>
        </w:tabs>
        <w:rPr>
          <w:rFonts w:ascii="Arial" w:hAnsi="Arial" w:cs="Arial"/>
          <w:sz w:val="22"/>
          <w:szCs w:val="22"/>
        </w:rPr>
      </w:pPr>
      <w:r w:rsidRPr="005F4A6C">
        <w:rPr>
          <w:rFonts w:ascii="Arial" w:hAnsi="Arial" w:cs="Arial"/>
          <w:b/>
          <w:bCs/>
          <w:sz w:val="22"/>
          <w:szCs w:val="22"/>
        </w:rPr>
        <w:t>Clarify how standard setting, moderation and post-hoc review are communicated.</w:t>
      </w:r>
      <w:r w:rsidRPr="005F4A6C">
        <w:rPr>
          <w:rFonts w:ascii="Arial" w:hAnsi="Arial" w:cs="Arial"/>
          <w:sz w:val="22"/>
          <w:szCs w:val="22"/>
        </w:rPr>
        <w:br/>
        <w:t>Students do not need confidential calculations, memoranda or item-level statistics. They do need enough information to understand whether these processes occurred and whether they affected final marks.</w:t>
      </w:r>
    </w:p>
    <w:p w14:paraId="67D20471" w14:textId="57B7E279" w:rsidR="00651A95" w:rsidRPr="005F4A6C" w:rsidRDefault="00651A95">
      <w:pPr>
        <w:numPr>
          <w:ilvl w:val="0"/>
          <w:numId w:val="3"/>
        </w:numPr>
        <w:tabs>
          <w:tab w:val="left" w:pos="1337"/>
        </w:tabs>
        <w:rPr>
          <w:rFonts w:ascii="Arial" w:hAnsi="Arial" w:cs="Arial"/>
          <w:sz w:val="22"/>
          <w:szCs w:val="22"/>
        </w:rPr>
      </w:pPr>
      <w:r w:rsidRPr="00651A95">
        <w:rPr>
          <w:rFonts w:ascii="Arial" w:hAnsi="Arial" w:cs="Arial"/>
          <w:b/>
          <w:bCs/>
          <w:sz w:val="22"/>
          <w:szCs w:val="22"/>
        </w:rPr>
        <w:t xml:space="preserve">Develop a standard </w:t>
      </w:r>
      <w:proofErr w:type="spellStart"/>
      <w:r w:rsidRPr="00651A95">
        <w:rPr>
          <w:rFonts w:ascii="Arial" w:hAnsi="Arial" w:cs="Arial"/>
          <w:b/>
          <w:bCs/>
          <w:sz w:val="22"/>
          <w:szCs w:val="22"/>
        </w:rPr>
        <w:t>Amathuba</w:t>
      </w:r>
      <w:proofErr w:type="spellEnd"/>
      <w:r w:rsidRPr="00651A95">
        <w:rPr>
          <w:rFonts w:ascii="Arial" w:hAnsi="Arial" w:cs="Arial"/>
          <w:b/>
          <w:bCs/>
          <w:sz w:val="22"/>
          <w:szCs w:val="22"/>
        </w:rPr>
        <w:t xml:space="preserve"> post-assessment communication template where feasible.</w:t>
      </w:r>
      <w:r w:rsidRPr="00651A95">
        <w:rPr>
          <w:rFonts w:ascii="Arial" w:hAnsi="Arial" w:cs="Arial"/>
          <w:sz w:val="22"/>
          <w:szCs w:val="22"/>
        </w:rPr>
        <w:br/>
        <w:t>A common template could help courses communicate results, component marks, cohort-level statistics, review outcomes and feedback pathways consistently while retaining course-specific flexibility.</w:t>
      </w:r>
    </w:p>
    <w:p w14:paraId="6AB7276E" w14:textId="77777777" w:rsidR="00541D2B" w:rsidRPr="0002408C" w:rsidRDefault="00541D2B" w:rsidP="00D75CA1">
      <w:pPr>
        <w:pStyle w:val="Heading1"/>
        <w:rPr>
          <w:rFonts w:ascii="Gill Sans MT" w:hAnsi="Gill Sans MT" w:cs="Arial"/>
          <w:b/>
          <w:bCs/>
          <w:color w:val="002060"/>
        </w:rPr>
      </w:pPr>
      <w:bookmarkStart w:id="11" w:name="_Toc229519672"/>
      <w:r w:rsidRPr="0002408C">
        <w:rPr>
          <w:rFonts w:ascii="Gill Sans MT" w:hAnsi="Gill Sans MT" w:cs="Arial"/>
          <w:b/>
          <w:bCs/>
          <w:color w:val="002060"/>
        </w:rPr>
        <w:t>Closing Position</w:t>
      </w:r>
      <w:bookmarkEnd w:id="11"/>
    </w:p>
    <w:p w14:paraId="48634C37" w14:textId="77777777" w:rsidR="00C4797F" w:rsidRPr="00C4797F" w:rsidRDefault="00C4797F" w:rsidP="00C4797F">
      <w:pPr>
        <w:tabs>
          <w:tab w:val="left" w:pos="1337"/>
        </w:tabs>
        <w:jc w:val="both"/>
        <w:rPr>
          <w:rFonts w:ascii="Arial" w:hAnsi="Arial" w:cs="Arial"/>
          <w:sz w:val="22"/>
          <w:szCs w:val="22"/>
        </w:rPr>
      </w:pPr>
      <w:r w:rsidRPr="00C4797F">
        <w:rPr>
          <w:rFonts w:ascii="Arial" w:hAnsi="Arial" w:cs="Arial"/>
          <w:sz w:val="22"/>
          <w:szCs w:val="22"/>
        </w:rPr>
        <w:t>The Year 3 IHS transition should not be treated only as a dispute about one assessment. It should be used as a learning case for strengthening assessment workflow across the MBChB programme.</w:t>
      </w:r>
    </w:p>
    <w:p w14:paraId="246FA79C" w14:textId="77777777" w:rsidR="00C4797F" w:rsidRPr="00C4797F" w:rsidRDefault="00C4797F" w:rsidP="00C4797F">
      <w:pPr>
        <w:tabs>
          <w:tab w:val="left" w:pos="1337"/>
        </w:tabs>
        <w:jc w:val="both"/>
        <w:rPr>
          <w:rFonts w:ascii="Arial" w:hAnsi="Arial" w:cs="Arial"/>
          <w:sz w:val="22"/>
          <w:szCs w:val="22"/>
        </w:rPr>
      </w:pPr>
      <w:r w:rsidRPr="00C4797F">
        <w:rPr>
          <w:rFonts w:ascii="Arial" w:hAnsi="Arial" w:cs="Arial"/>
          <w:sz w:val="22"/>
          <w:szCs w:val="22"/>
        </w:rPr>
        <w:t>The opportunity is not simply to digitise existing assessment practice. It is to build a more coherent, transparent and educationally defensible assessment system: one in which students are prepared for the formats used, questions are designed for the modality in which they are delivered, timing reflects actual task demand, assessment weightings are considered in relation to formative opportunity, outcomes are reviewed responsibly, and students receive enough information to learn from their performance.</w:t>
      </w:r>
    </w:p>
    <w:p w14:paraId="6A7DC60A" w14:textId="77777777" w:rsidR="00C4797F" w:rsidRPr="00C4797F" w:rsidRDefault="00C4797F" w:rsidP="00C4797F">
      <w:pPr>
        <w:tabs>
          <w:tab w:val="left" w:pos="1337"/>
        </w:tabs>
        <w:jc w:val="both"/>
        <w:rPr>
          <w:rFonts w:ascii="Arial" w:hAnsi="Arial" w:cs="Arial"/>
          <w:sz w:val="22"/>
          <w:szCs w:val="22"/>
        </w:rPr>
      </w:pPr>
      <w:r w:rsidRPr="00C4797F">
        <w:rPr>
          <w:rFonts w:ascii="Arial" w:hAnsi="Arial" w:cs="Arial"/>
          <w:sz w:val="22"/>
          <w:szCs w:val="22"/>
        </w:rPr>
        <w:t>The SCL offers this memorandum in a spirit of constructive partnership. We recognise the academic authority and workload of course teams and programme leadership. At the same time, student experience can reveal important implementation issues that are not always visible from assessment design alone. We hope this document can support shared decisions, clearer communication and future assessment practice that is both feasible for staff and fair to students.</w:t>
      </w:r>
    </w:p>
    <w:p w14:paraId="4BA1821D" w14:textId="77777777" w:rsidR="001C4C82" w:rsidRDefault="001C4C82" w:rsidP="00D75CA1">
      <w:pPr>
        <w:pStyle w:val="Heading1"/>
        <w:rPr>
          <w:rFonts w:ascii="Gill Sans MT" w:hAnsi="Gill Sans MT" w:cs="Arial"/>
          <w:b/>
          <w:bCs/>
        </w:rPr>
      </w:pPr>
    </w:p>
    <w:p w14:paraId="32632F0E" w14:textId="0573EEEC" w:rsidR="00D75CA1" w:rsidRPr="0002408C" w:rsidRDefault="00D75CA1" w:rsidP="00D75CA1">
      <w:pPr>
        <w:pStyle w:val="Heading1"/>
        <w:rPr>
          <w:rFonts w:ascii="Gill Sans MT" w:hAnsi="Gill Sans MT" w:cs="Arial"/>
          <w:b/>
          <w:bCs/>
          <w:color w:val="002060"/>
        </w:rPr>
      </w:pPr>
      <w:bookmarkStart w:id="12" w:name="_Toc229519673"/>
      <w:r w:rsidRPr="0002408C">
        <w:rPr>
          <w:rFonts w:ascii="Gill Sans MT" w:hAnsi="Gill Sans MT" w:cs="Arial"/>
          <w:b/>
          <w:bCs/>
          <w:color w:val="002060"/>
        </w:rPr>
        <w:t>REFERENCES</w:t>
      </w:r>
      <w:bookmarkEnd w:id="12"/>
    </w:p>
    <w:p w14:paraId="2DBB5209" w14:textId="77777777" w:rsidR="0070480C" w:rsidRDefault="0070480C">
      <w:pPr>
        <w:numPr>
          <w:ilvl w:val="0"/>
          <w:numId w:val="6"/>
        </w:numPr>
        <w:spacing w:after="0"/>
        <w:rPr>
          <w:rFonts w:ascii="Arial" w:hAnsi="Arial" w:cs="Arial"/>
          <w:sz w:val="22"/>
          <w:szCs w:val="22"/>
        </w:rPr>
        <w:sectPr w:rsidR="0070480C" w:rsidSect="003A15B5">
          <w:headerReference w:type="default" r:id="rId9"/>
          <w:footerReference w:type="default" r:id="rId10"/>
          <w:headerReference w:type="first" r:id="rId11"/>
          <w:pgSz w:w="16838" w:h="11906" w:orient="landscape"/>
          <w:pgMar w:top="1080" w:right="1440" w:bottom="1080" w:left="1440" w:header="708" w:footer="708" w:gutter="0"/>
          <w:cols w:space="708"/>
          <w:titlePg/>
          <w:docGrid w:linePitch="360"/>
        </w:sectPr>
      </w:pPr>
    </w:p>
    <w:p w14:paraId="3FE6DB76"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University of Cape Town. </w:t>
      </w:r>
      <w:r w:rsidRPr="0070480C">
        <w:rPr>
          <w:rFonts w:ascii="Arial" w:hAnsi="Arial" w:cs="Arial"/>
          <w:i/>
          <w:iCs/>
          <w:sz w:val="16"/>
          <w:szCs w:val="16"/>
        </w:rPr>
        <w:t>Assessment Policy for UCT</w:t>
      </w:r>
      <w:r w:rsidRPr="0070480C">
        <w:rPr>
          <w:rFonts w:ascii="Arial" w:hAnsi="Arial" w:cs="Arial"/>
          <w:sz w:val="16"/>
          <w:szCs w:val="16"/>
        </w:rPr>
        <w:t xml:space="preserve">. Cape Town: University of Cape Town; 2024. </w:t>
      </w:r>
    </w:p>
    <w:p w14:paraId="772927B3" w14:textId="68569914" w:rsidR="002F2302" w:rsidRPr="0070480C" w:rsidRDefault="005F4A6C">
      <w:pPr>
        <w:numPr>
          <w:ilvl w:val="0"/>
          <w:numId w:val="6"/>
        </w:numPr>
        <w:spacing w:after="0"/>
        <w:rPr>
          <w:rFonts w:ascii="Arial" w:hAnsi="Arial" w:cs="Arial"/>
          <w:sz w:val="16"/>
          <w:szCs w:val="16"/>
        </w:rPr>
      </w:pPr>
      <w:r w:rsidRPr="002F2302">
        <w:rPr>
          <w:rFonts w:ascii="Arial" w:hAnsi="Arial" w:cs="Arial"/>
          <w:sz w:val="16"/>
          <w:szCs w:val="16"/>
        </w:rPr>
        <w:t xml:space="preserve">Dennick R, Wilkinson S, Purcell N. Online </w:t>
      </w:r>
      <w:proofErr w:type="spellStart"/>
      <w:r w:rsidRPr="002F2302">
        <w:rPr>
          <w:rFonts w:ascii="Arial" w:hAnsi="Arial" w:cs="Arial"/>
          <w:sz w:val="16"/>
          <w:szCs w:val="16"/>
        </w:rPr>
        <w:t>eAssessment</w:t>
      </w:r>
      <w:proofErr w:type="spellEnd"/>
      <w:r w:rsidRPr="002F2302">
        <w:rPr>
          <w:rFonts w:ascii="Arial" w:hAnsi="Arial" w:cs="Arial"/>
          <w:sz w:val="16"/>
          <w:szCs w:val="16"/>
        </w:rPr>
        <w:t xml:space="preserve">: AMEE Guide No. 39. </w:t>
      </w:r>
      <w:r w:rsidRPr="002F2302">
        <w:rPr>
          <w:rFonts w:ascii="Arial" w:hAnsi="Arial" w:cs="Arial"/>
          <w:i/>
          <w:iCs/>
          <w:sz w:val="16"/>
          <w:szCs w:val="16"/>
        </w:rPr>
        <w:t>Med Teach</w:t>
      </w:r>
      <w:r w:rsidRPr="002F2302">
        <w:rPr>
          <w:rFonts w:ascii="Arial" w:hAnsi="Arial" w:cs="Arial"/>
          <w:sz w:val="16"/>
          <w:szCs w:val="16"/>
        </w:rPr>
        <w:t>. 2009;31(3):192–206. doi:10.1080/0142159090279240</w:t>
      </w:r>
      <w:r w:rsidR="002F2302">
        <w:rPr>
          <w:rFonts w:ascii="Arial" w:hAnsi="Arial" w:cs="Arial"/>
          <w:sz w:val="16"/>
          <w:szCs w:val="16"/>
        </w:rPr>
        <w:t>6</w:t>
      </w:r>
    </w:p>
    <w:p w14:paraId="06B2AB99" w14:textId="511274E3" w:rsidR="005F4A6C" w:rsidRPr="002F2302" w:rsidRDefault="005F4A6C">
      <w:pPr>
        <w:numPr>
          <w:ilvl w:val="0"/>
          <w:numId w:val="6"/>
        </w:numPr>
        <w:spacing w:after="0"/>
        <w:rPr>
          <w:rFonts w:ascii="Arial" w:hAnsi="Arial" w:cs="Arial"/>
          <w:sz w:val="16"/>
          <w:szCs w:val="16"/>
        </w:rPr>
      </w:pPr>
      <w:r w:rsidRPr="002F2302">
        <w:rPr>
          <w:rFonts w:ascii="Arial" w:hAnsi="Arial" w:cs="Arial"/>
          <w:sz w:val="16"/>
          <w:szCs w:val="16"/>
        </w:rPr>
        <w:t xml:space="preserve">Raymond MR, Grande JP. A practical guide to test blueprinting. </w:t>
      </w:r>
      <w:r w:rsidRPr="002F2302">
        <w:rPr>
          <w:rFonts w:ascii="Arial" w:hAnsi="Arial" w:cs="Arial"/>
          <w:i/>
          <w:iCs/>
          <w:sz w:val="16"/>
          <w:szCs w:val="16"/>
        </w:rPr>
        <w:t>Med Teach</w:t>
      </w:r>
      <w:r w:rsidRPr="002F2302">
        <w:rPr>
          <w:rFonts w:ascii="Arial" w:hAnsi="Arial" w:cs="Arial"/>
          <w:sz w:val="16"/>
          <w:szCs w:val="16"/>
        </w:rPr>
        <w:t xml:space="preserve">. 2019;41(8):854–861. doi:10.1080/0142159X.2019.1595556. </w:t>
      </w:r>
    </w:p>
    <w:p w14:paraId="0F6DB678"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Friedman Ben-David M. AMEE Guide No. 18: Standard setting in student assessment. </w:t>
      </w:r>
      <w:r w:rsidRPr="0070480C">
        <w:rPr>
          <w:rFonts w:ascii="Arial" w:hAnsi="Arial" w:cs="Arial"/>
          <w:i/>
          <w:iCs/>
          <w:sz w:val="16"/>
          <w:szCs w:val="16"/>
        </w:rPr>
        <w:t>Med Teach</w:t>
      </w:r>
      <w:r w:rsidRPr="0070480C">
        <w:rPr>
          <w:rFonts w:ascii="Arial" w:hAnsi="Arial" w:cs="Arial"/>
          <w:sz w:val="16"/>
          <w:szCs w:val="16"/>
        </w:rPr>
        <w:t xml:space="preserve">. 2000;22(2):120–130. doi:10.1080/01421590078526. </w:t>
      </w:r>
    </w:p>
    <w:p w14:paraId="7EFDE1AC" w14:textId="77777777" w:rsidR="005F4A6C" w:rsidRPr="0070480C" w:rsidRDefault="005F4A6C">
      <w:pPr>
        <w:numPr>
          <w:ilvl w:val="0"/>
          <w:numId w:val="6"/>
        </w:numPr>
        <w:spacing w:after="0"/>
        <w:rPr>
          <w:rFonts w:ascii="Arial" w:hAnsi="Arial" w:cs="Arial"/>
          <w:sz w:val="16"/>
          <w:szCs w:val="16"/>
        </w:rPr>
      </w:pPr>
      <w:proofErr w:type="spellStart"/>
      <w:r w:rsidRPr="0070480C">
        <w:rPr>
          <w:rFonts w:ascii="Arial" w:hAnsi="Arial" w:cs="Arial"/>
          <w:sz w:val="16"/>
          <w:szCs w:val="16"/>
        </w:rPr>
        <w:t>Schuwirth</w:t>
      </w:r>
      <w:proofErr w:type="spellEnd"/>
      <w:r w:rsidRPr="0070480C">
        <w:rPr>
          <w:rFonts w:ascii="Arial" w:hAnsi="Arial" w:cs="Arial"/>
          <w:sz w:val="16"/>
          <w:szCs w:val="16"/>
        </w:rPr>
        <w:t xml:space="preserve"> LWT, van der Vleuten CPM. General overview of the theories used in assessment: AMEE Guide No. 57. </w:t>
      </w:r>
      <w:r w:rsidRPr="0070480C">
        <w:rPr>
          <w:rFonts w:ascii="Arial" w:hAnsi="Arial" w:cs="Arial"/>
          <w:i/>
          <w:iCs/>
          <w:sz w:val="16"/>
          <w:szCs w:val="16"/>
        </w:rPr>
        <w:t>Med Teach</w:t>
      </w:r>
      <w:r w:rsidRPr="0070480C">
        <w:rPr>
          <w:rFonts w:ascii="Arial" w:hAnsi="Arial" w:cs="Arial"/>
          <w:sz w:val="16"/>
          <w:szCs w:val="16"/>
        </w:rPr>
        <w:t xml:space="preserve">. 2011;33(10):783–797. doi:10.3109/0142159X.2011.611022. </w:t>
      </w:r>
    </w:p>
    <w:p w14:paraId="6CC779A5"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Pangaro L, ten Cate O. Frameworks for learner assessment in medicine: AMEE Guide No. 78. </w:t>
      </w:r>
      <w:r w:rsidRPr="0070480C">
        <w:rPr>
          <w:rFonts w:ascii="Arial" w:hAnsi="Arial" w:cs="Arial"/>
          <w:i/>
          <w:iCs/>
          <w:sz w:val="16"/>
          <w:szCs w:val="16"/>
        </w:rPr>
        <w:t>Med Teach</w:t>
      </w:r>
      <w:r w:rsidRPr="0070480C">
        <w:rPr>
          <w:rFonts w:ascii="Arial" w:hAnsi="Arial" w:cs="Arial"/>
          <w:sz w:val="16"/>
          <w:szCs w:val="16"/>
        </w:rPr>
        <w:t>. 2013;35(6</w:t>
      </w:r>
      <w:proofErr w:type="gramStart"/>
      <w:r w:rsidRPr="0070480C">
        <w:rPr>
          <w:rFonts w:ascii="Arial" w:hAnsi="Arial" w:cs="Arial"/>
          <w:sz w:val="16"/>
          <w:szCs w:val="16"/>
        </w:rPr>
        <w:t>):e</w:t>
      </w:r>
      <w:proofErr w:type="gramEnd"/>
      <w:r w:rsidRPr="0070480C">
        <w:rPr>
          <w:rFonts w:ascii="Arial" w:hAnsi="Arial" w:cs="Arial"/>
          <w:sz w:val="16"/>
          <w:szCs w:val="16"/>
        </w:rPr>
        <w:t xml:space="preserve">1197–e1210. doi:10.3109/0142159X.2013.788789. </w:t>
      </w:r>
    </w:p>
    <w:p w14:paraId="3B929A04"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Downing SM. Validity: on meaningful interpretation of assessment data. </w:t>
      </w:r>
      <w:r w:rsidRPr="0070480C">
        <w:rPr>
          <w:rFonts w:ascii="Arial" w:hAnsi="Arial" w:cs="Arial"/>
          <w:i/>
          <w:iCs/>
          <w:sz w:val="16"/>
          <w:szCs w:val="16"/>
        </w:rPr>
        <w:t>Med Educ</w:t>
      </w:r>
      <w:r w:rsidRPr="0070480C">
        <w:rPr>
          <w:rFonts w:ascii="Arial" w:hAnsi="Arial" w:cs="Arial"/>
          <w:sz w:val="16"/>
          <w:szCs w:val="16"/>
        </w:rPr>
        <w:t>. 2003;37(9):830–837. doi:10.1046/j.1365-2923.2003.</w:t>
      </w:r>
      <w:proofErr w:type="gramStart"/>
      <w:r w:rsidRPr="0070480C">
        <w:rPr>
          <w:rFonts w:ascii="Arial" w:hAnsi="Arial" w:cs="Arial"/>
          <w:sz w:val="16"/>
          <w:szCs w:val="16"/>
        </w:rPr>
        <w:t>01594.x.</w:t>
      </w:r>
      <w:proofErr w:type="gramEnd"/>
      <w:r w:rsidRPr="0070480C">
        <w:rPr>
          <w:rFonts w:ascii="Arial" w:hAnsi="Arial" w:cs="Arial"/>
          <w:sz w:val="16"/>
          <w:szCs w:val="16"/>
        </w:rPr>
        <w:t xml:space="preserve"> </w:t>
      </w:r>
    </w:p>
    <w:p w14:paraId="022B54AA"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Hattie J, Timperley H. The power of feedback. </w:t>
      </w:r>
      <w:r w:rsidRPr="0070480C">
        <w:rPr>
          <w:rFonts w:ascii="Arial" w:hAnsi="Arial" w:cs="Arial"/>
          <w:i/>
          <w:iCs/>
          <w:sz w:val="16"/>
          <w:szCs w:val="16"/>
        </w:rPr>
        <w:t xml:space="preserve">Rev </w:t>
      </w:r>
      <w:proofErr w:type="spellStart"/>
      <w:r w:rsidRPr="0070480C">
        <w:rPr>
          <w:rFonts w:ascii="Arial" w:hAnsi="Arial" w:cs="Arial"/>
          <w:i/>
          <w:iCs/>
          <w:sz w:val="16"/>
          <w:szCs w:val="16"/>
        </w:rPr>
        <w:t>Educ</w:t>
      </w:r>
      <w:proofErr w:type="spellEnd"/>
      <w:r w:rsidRPr="0070480C">
        <w:rPr>
          <w:rFonts w:ascii="Arial" w:hAnsi="Arial" w:cs="Arial"/>
          <w:i/>
          <w:iCs/>
          <w:sz w:val="16"/>
          <w:szCs w:val="16"/>
        </w:rPr>
        <w:t xml:space="preserve"> Res</w:t>
      </w:r>
      <w:r w:rsidRPr="0070480C">
        <w:rPr>
          <w:rFonts w:ascii="Arial" w:hAnsi="Arial" w:cs="Arial"/>
          <w:sz w:val="16"/>
          <w:szCs w:val="16"/>
        </w:rPr>
        <w:t xml:space="preserve">. 2007;77(1):81–112. doi:10.3102/003465430298487. </w:t>
      </w:r>
    </w:p>
    <w:p w14:paraId="535B9CA1" w14:textId="77777777" w:rsidR="005F4A6C" w:rsidRPr="0070480C" w:rsidRDefault="005F4A6C">
      <w:pPr>
        <w:numPr>
          <w:ilvl w:val="0"/>
          <w:numId w:val="6"/>
        </w:numPr>
        <w:spacing w:after="0"/>
        <w:rPr>
          <w:rFonts w:ascii="Arial" w:hAnsi="Arial" w:cs="Arial"/>
          <w:sz w:val="16"/>
          <w:szCs w:val="16"/>
        </w:rPr>
      </w:pPr>
      <w:proofErr w:type="spellStart"/>
      <w:r w:rsidRPr="0070480C">
        <w:rPr>
          <w:rFonts w:ascii="Arial" w:hAnsi="Arial" w:cs="Arial"/>
          <w:sz w:val="16"/>
          <w:szCs w:val="16"/>
        </w:rPr>
        <w:t>Sweller</w:t>
      </w:r>
      <w:proofErr w:type="spellEnd"/>
      <w:r w:rsidRPr="0070480C">
        <w:rPr>
          <w:rFonts w:ascii="Arial" w:hAnsi="Arial" w:cs="Arial"/>
          <w:sz w:val="16"/>
          <w:szCs w:val="16"/>
        </w:rPr>
        <w:t xml:space="preserve"> J. Cognitive load during problem </w:t>
      </w:r>
      <w:proofErr w:type="gramStart"/>
      <w:r w:rsidRPr="0070480C">
        <w:rPr>
          <w:rFonts w:ascii="Arial" w:hAnsi="Arial" w:cs="Arial"/>
          <w:sz w:val="16"/>
          <w:szCs w:val="16"/>
        </w:rPr>
        <w:t>solving:</w:t>
      </w:r>
      <w:proofErr w:type="gramEnd"/>
      <w:r w:rsidRPr="0070480C">
        <w:rPr>
          <w:rFonts w:ascii="Arial" w:hAnsi="Arial" w:cs="Arial"/>
          <w:sz w:val="16"/>
          <w:szCs w:val="16"/>
        </w:rPr>
        <w:t xml:space="preserve"> effects on learning. </w:t>
      </w:r>
      <w:proofErr w:type="spellStart"/>
      <w:r w:rsidRPr="0070480C">
        <w:rPr>
          <w:rFonts w:ascii="Arial" w:hAnsi="Arial" w:cs="Arial"/>
          <w:i/>
          <w:iCs/>
          <w:sz w:val="16"/>
          <w:szCs w:val="16"/>
        </w:rPr>
        <w:t>Cogn</w:t>
      </w:r>
      <w:proofErr w:type="spellEnd"/>
      <w:r w:rsidRPr="0070480C">
        <w:rPr>
          <w:rFonts w:ascii="Arial" w:hAnsi="Arial" w:cs="Arial"/>
          <w:i/>
          <w:iCs/>
          <w:sz w:val="16"/>
          <w:szCs w:val="16"/>
        </w:rPr>
        <w:t xml:space="preserve"> Sci</w:t>
      </w:r>
      <w:r w:rsidRPr="0070480C">
        <w:rPr>
          <w:rFonts w:ascii="Arial" w:hAnsi="Arial" w:cs="Arial"/>
          <w:sz w:val="16"/>
          <w:szCs w:val="16"/>
        </w:rPr>
        <w:t xml:space="preserve">. 1988;12(2):257–285. doi:10.1207/s15516709cog1202_4. </w:t>
      </w:r>
    </w:p>
    <w:p w14:paraId="7C94A008"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Paas F, van </w:t>
      </w:r>
      <w:proofErr w:type="spellStart"/>
      <w:r w:rsidRPr="0070480C">
        <w:rPr>
          <w:rFonts w:ascii="Arial" w:hAnsi="Arial" w:cs="Arial"/>
          <w:sz w:val="16"/>
          <w:szCs w:val="16"/>
        </w:rPr>
        <w:t>Merriënboer</w:t>
      </w:r>
      <w:proofErr w:type="spellEnd"/>
      <w:r w:rsidRPr="0070480C">
        <w:rPr>
          <w:rFonts w:ascii="Arial" w:hAnsi="Arial" w:cs="Arial"/>
          <w:sz w:val="16"/>
          <w:szCs w:val="16"/>
        </w:rPr>
        <w:t xml:space="preserve"> JJG. Cognitive-load theory: methods to manage working memory load in the learning of complex tasks. </w:t>
      </w:r>
      <w:r w:rsidRPr="0070480C">
        <w:rPr>
          <w:rFonts w:ascii="Arial" w:hAnsi="Arial" w:cs="Arial"/>
          <w:i/>
          <w:iCs/>
          <w:sz w:val="16"/>
          <w:szCs w:val="16"/>
        </w:rPr>
        <w:t xml:space="preserve">Curr Dir </w:t>
      </w:r>
      <w:proofErr w:type="spellStart"/>
      <w:r w:rsidRPr="0070480C">
        <w:rPr>
          <w:rFonts w:ascii="Arial" w:hAnsi="Arial" w:cs="Arial"/>
          <w:i/>
          <w:iCs/>
          <w:sz w:val="16"/>
          <w:szCs w:val="16"/>
        </w:rPr>
        <w:t>Psychol</w:t>
      </w:r>
      <w:proofErr w:type="spellEnd"/>
      <w:r w:rsidRPr="0070480C">
        <w:rPr>
          <w:rFonts w:ascii="Arial" w:hAnsi="Arial" w:cs="Arial"/>
          <w:i/>
          <w:iCs/>
          <w:sz w:val="16"/>
          <w:szCs w:val="16"/>
        </w:rPr>
        <w:t xml:space="preserve"> Sci</w:t>
      </w:r>
      <w:r w:rsidRPr="0070480C">
        <w:rPr>
          <w:rFonts w:ascii="Arial" w:hAnsi="Arial" w:cs="Arial"/>
          <w:sz w:val="16"/>
          <w:szCs w:val="16"/>
        </w:rPr>
        <w:t xml:space="preserve">. 2020;29(4):394–398. doi:10.1177/0963721420922183. </w:t>
      </w:r>
    </w:p>
    <w:p w14:paraId="6CCC580D" w14:textId="4CB0C5AC"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Karay Y, Schauber SK, Stosch C, </w:t>
      </w:r>
      <w:proofErr w:type="spellStart"/>
      <w:r w:rsidRPr="0070480C">
        <w:rPr>
          <w:rFonts w:ascii="Arial" w:hAnsi="Arial" w:cs="Arial"/>
          <w:sz w:val="16"/>
          <w:szCs w:val="16"/>
        </w:rPr>
        <w:t>Schüttpelz</w:t>
      </w:r>
      <w:proofErr w:type="spellEnd"/>
      <w:r w:rsidRPr="0070480C">
        <w:rPr>
          <w:rFonts w:ascii="Arial" w:hAnsi="Arial" w:cs="Arial"/>
          <w:sz w:val="16"/>
          <w:szCs w:val="16"/>
        </w:rPr>
        <w:t xml:space="preserve">-Brauns K. Computer versus paper: does it make any difference in test performance? </w:t>
      </w:r>
      <w:r w:rsidRPr="0070480C">
        <w:rPr>
          <w:rFonts w:ascii="Arial" w:hAnsi="Arial" w:cs="Arial"/>
          <w:i/>
          <w:iCs/>
          <w:sz w:val="16"/>
          <w:szCs w:val="16"/>
        </w:rPr>
        <w:t>Teach Learn Med</w:t>
      </w:r>
      <w:r w:rsidRPr="0070480C">
        <w:rPr>
          <w:rFonts w:ascii="Arial" w:hAnsi="Arial" w:cs="Arial"/>
          <w:sz w:val="16"/>
          <w:szCs w:val="16"/>
        </w:rPr>
        <w:t xml:space="preserve">. 2015;27(1):57–62. doi:10.1080/10401334.2014.979175. </w:t>
      </w:r>
    </w:p>
    <w:p w14:paraId="765AE261"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Coderre S, </w:t>
      </w:r>
      <w:proofErr w:type="spellStart"/>
      <w:r w:rsidRPr="0070480C">
        <w:rPr>
          <w:rFonts w:ascii="Arial" w:hAnsi="Arial" w:cs="Arial"/>
          <w:sz w:val="16"/>
          <w:szCs w:val="16"/>
        </w:rPr>
        <w:t>Woloschuk</w:t>
      </w:r>
      <w:proofErr w:type="spellEnd"/>
      <w:r w:rsidRPr="0070480C">
        <w:rPr>
          <w:rFonts w:ascii="Arial" w:hAnsi="Arial" w:cs="Arial"/>
          <w:sz w:val="16"/>
          <w:szCs w:val="16"/>
        </w:rPr>
        <w:t xml:space="preserve"> W, McLaughlin K. Twelve tips for blueprinting. </w:t>
      </w:r>
      <w:r w:rsidRPr="0070480C">
        <w:rPr>
          <w:rFonts w:ascii="Arial" w:hAnsi="Arial" w:cs="Arial"/>
          <w:i/>
          <w:iCs/>
          <w:sz w:val="16"/>
          <w:szCs w:val="16"/>
        </w:rPr>
        <w:t>Med Teach</w:t>
      </w:r>
      <w:r w:rsidRPr="0070480C">
        <w:rPr>
          <w:rFonts w:ascii="Arial" w:hAnsi="Arial" w:cs="Arial"/>
          <w:sz w:val="16"/>
          <w:szCs w:val="16"/>
        </w:rPr>
        <w:t xml:space="preserve">. 2009;31(4):322–324. doi:10.1080/01421590802225770. </w:t>
      </w:r>
    </w:p>
    <w:p w14:paraId="17ABA697"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van der Vleuten CPM. The assessment of professional competence: developments, research and practical implications. </w:t>
      </w:r>
      <w:r w:rsidRPr="0070480C">
        <w:rPr>
          <w:rFonts w:ascii="Arial" w:hAnsi="Arial" w:cs="Arial"/>
          <w:i/>
          <w:iCs/>
          <w:sz w:val="16"/>
          <w:szCs w:val="16"/>
        </w:rPr>
        <w:t xml:space="preserve">Adv Health Sci </w:t>
      </w:r>
      <w:proofErr w:type="spellStart"/>
      <w:r w:rsidRPr="0070480C">
        <w:rPr>
          <w:rFonts w:ascii="Arial" w:hAnsi="Arial" w:cs="Arial"/>
          <w:i/>
          <w:iCs/>
          <w:sz w:val="16"/>
          <w:szCs w:val="16"/>
        </w:rPr>
        <w:t>Educ</w:t>
      </w:r>
      <w:proofErr w:type="spellEnd"/>
      <w:r w:rsidRPr="0070480C">
        <w:rPr>
          <w:rFonts w:ascii="Arial" w:hAnsi="Arial" w:cs="Arial"/>
          <w:i/>
          <w:iCs/>
          <w:sz w:val="16"/>
          <w:szCs w:val="16"/>
        </w:rPr>
        <w:t xml:space="preserve"> Theory </w:t>
      </w:r>
      <w:proofErr w:type="spellStart"/>
      <w:r w:rsidRPr="0070480C">
        <w:rPr>
          <w:rFonts w:ascii="Arial" w:hAnsi="Arial" w:cs="Arial"/>
          <w:i/>
          <w:iCs/>
          <w:sz w:val="16"/>
          <w:szCs w:val="16"/>
        </w:rPr>
        <w:t>Pract</w:t>
      </w:r>
      <w:proofErr w:type="spellEnd"/>
      <w:r w:rsidRPr="0070480C">
        <w:rPr>
          <w:rFonts w:ascii="Arial" w:hAnsi="Arial" w:cs="Arial"/>
          <w:sz w:val="16"/>
          <w:szCs w:val="16"/>
        </w:rPr>
        <w:t xml:space="preserve">. 1996;1(1):41–67. doi:10.1007/BF00596229. </w:t>
      </w:r>
    </w:p>
    <w:p w14:paraId="2F22B25E"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van der Vleuten CPM, </w:t>
      </w:r>
      <w:proofErr w:type="spellStart"/>
      <w:r w:rsidRPr="0070480C">
        <w:rPr>
          <w:rFonts w:ascii="Arial" w:hAnsi="Arial" w:cs="Arial"/>
          <w:sz w:val="16"/>
          <w:szCs w:val="16"/>
        </w:rPr>
        <w:t>Schuwirth</w:t>
      </w:r>
      <w:proofErr w:type="spellEnd"/>
      <w:r w:rsidRPr="0070480C">
        <w:rPr>
          <w:rFonts w:ascii="Arial" w:hAnsi="Arial" w:cs="Arial"/>
          <w:sz w:val="16"/>
          <w:szCs w:val="16"/>
        </w:rPr>
        <w:t xml:space="preserve"> LWT. Assessing professional competence: from methods to programmes. </w:t>
      </w:r>
      <w:r w:rsidRPr="0070480C">
        <w:rPr>
          <w:rFonts w:ascii="Arial" w:hAnsi="Arial" w:cs="Arial"/>
          <w:i/>
          <w:iCs/>
          <w:sz w:val="16"/>
          <w:szCs w:val="16"/>
        </w:rPr>
        <w:t>Med Educ</w:t>
      </w:r>
      <w:r w:rsidRPr="0070480C">
        <w:rPr>
          <w:rFonts w:ascii="Arial" w:hAnsi="Arial" w:cs="Arial"/>
          <w:sz w:val="16"/>
          <w:szCs w:val="16"/>
        </w:rPr>
        <w:t>. 2005;39(3):309–317. doi:10.1111/j.1365-2929.2005.</w:t>
      </w:r>
      <w:proofErr w:type="gramStart"/>
      <w:r w:rsidRPr="0070480C">
        <w:rPr>
          <w:rFonts w:ascii="Arial" w:hAnsi="Arial" w:cs="Arial"/>
          <w:sz w:val="16"/>
          <w:szCs w:val="16"/>
        </w:rPr>
        <w:t>02094.x.</w:t>
      </w:r>
      <w:proofErr w:type="gramEnd"/>
      <w:r w:rsidRPr="0070480C">
        <w:rPr>
          <w:rFonts w:ascii="Arial" w:hAnsi="Arial" w:cs="Arial"/>
          <w:sz w:val="16"/>
          <w:szCs w:val="16"/>
        </w:rPr>
        <w:t xml:space="preserve"> </w:t>
      </w:r>
    </w:p>
    <w:p w14:paraId="61218CE0"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Norcini J, Anderson MB, </w:t>
      </w:r>
      <w:proofErr w:type="spellStart"/>
      <w:r w:rsidRPr="0070480C">
        <w:rPr>
          <w:rFonts w:ascii="Arial" w:hAnsi="Arial" w:cs="Arial"/>
          <w:sz w:val="16"/>
          <w:szCs w:val="16"/>
        </w:rPr>
        <w:t>Bollela</w:t>
      </w:r>
      <w:proofErr w:type="spellEnd"/>
      <w:r w:rsidRPr="0070480C">
        <w:rPr>
          <w:rFonts w:ascii="Arial" w:hAnsi="Arial" w:cs="Arial"/>
          <w:sz w:val="16"/>
          <w:szCs w:val="16"/>
        </w:rPr>
        <w:t xml:space="preserve"> V, Burch V, Costa MJ, Duvivier R, et al. Criteria for good assessment: consensus statement and recommendations from the Ottawa 2010 Conference. </w:t>
      </w:r>
      <w:r w:rsidRPr="0070480C">
        <w:rPr>
          <w:rFonts w:ascii="Arial" w:hAnsi="Arial" w:cs="Arial"/>
          <w:i/>
          <w:iCs/>
          <w:sz w:val="16"/>
          <w:szCs w:val="16"/>
        </w:rPr>
        <w:t>Med Teach</w:t>
      </w:r>
      <w:r w:rsidRPr="0070480C">
        <w:rPr>
          <w:rFonts w:ascii="Arial" w:hAnsi="Arial" w:cs="Arial"/>
          <w:sz w:val="16"/>
          <w:szCs w:val="16"/>
        </w:rPr>
        <w:t xml:space="preserve">. 2011;33(3):206–214. doi:10.3109/0142159X.2011.551559. </w:t>
      </w:r>
    </w:p>
    <w:p w14:paraId="5F264736"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Norcini J, Anderson MB, </w:t>
      </w:r>
      <w:proofErr w:type="spellStart"/>
      <w:r w:rsidRPr="0070480C">
        <w:rPr>
          <w:rFonts w:ascii="Arial" w:hAnsi="Arial" w:cs="Arial"/>
          <w:sz w:val="16"/>
          <w:szCs w:val="16"/>
        </w:rPr>
        <w:t>Bollela</w:t>
      </w:r>
      <w:proofErr w:type="spellEnd"/>
      <w:r w:rsidRPr="0070480C">
        <w:rPr>
          <w:rFonts w:ascii="Arial" w:hAnsi="Arial" w:cs="Arial"/>
          <w:sz w:val="16"/>
          <w:szCs w:val="16"/>
        </w:rPr>
        <w:t xml:space="preserve"> V, Burch V, Costa MJ, Duvivier R, et al. 2018 consensus framework for good assessment. </w:t>
      </w:r>
      <w:r w:rsidRPr="0070480C">
        <w:rPr>
          <w:rFonts w:ascii="Arial" w:hAnsi="Arial" w:cs="Arial"/>
          <w:i/>
          <w:iCs/>
          <w:sz w:val="16"/>
          <w:szCs w:val="16"/>
        </w:rPr>
        <w:t>Med Teach</w:t>
      </w:r>
      <w:r w:rsidRPr="0070480C">
        <w:rPr>
          <w:rFonts w:ascii="Arial" w:hAnsi="Arial" w:cs="Arial"/>
          <w:sz w:val="16"/>
          <w:szCs w:val="16"/>
        </w:rPr>
        <w:t xml:space="preserve">. 2018;40(11):1102–1109. doi:10.1080/0142159X.2018.1500016. </w:t>
      </w:r>
    </w:p>
    <w:p w14:paraId="5A86DAA7"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Miller GE. The assessment of clinical skills/competence/performance. </w:t>
      </w:r>
      <w:proofErr w:type="spellStart"/>
      <w:r w:rsidRPr="0070480C">
        <w:rPr>
          <w:rFonts w:ascii="Arial" w:hAnsi="Arial" w:cs="Arial"/>
          <w:i/>
          <w:iCs/>
          <w:sz w:val="16"/>
          <w:szCs w:val="16"/>
        </w:rPr>
        <w:t>Acad</w:t>
      </w:r>
      <w:proofErr w:type="spellEnd"/>
      <w:r w:rsidRPr="0070480C">
        <w:rPr>
          <w:rFonts w:ascii="Arial" w:hAnsi="Arial" w:cs="Arial"/>
          <w:i/>
          <w:iCs/>
          <w:sz w:val="16"/>
          <w:szCs w:val="16"/>
        </w:rPr>
        <w:t xml:space="preserve"> Med</w:t>
      </w:r>
      <w:r w:rsidRPr="0070480C">
        <w:rPr>
          <w:rFonts w:ascii="Arial" w:hAnsi="Arial" w:cs="Arial"/>
          <w:sz w:val="16"/>
          <w:szCs w:val="16"/>
        </w:rPr>
        <w:t xml:space="preserve">. 1990;65(9 </w:t>
      </w:r>
      <w:proofErr w:type="spellStart"/>
      <w:r w:rsidRPr="0070480C">
        <w:rPr>
          <w:rFonts w:ascii="Arial" w:hAnsi="Arial" w:cs="Arial"/>
          <w:sz w:val="16"/>
          <w:szCs w:val="16"/>
        </w:rPr>
        <w:t>Suppl</w:t>
      </w:r>
      <w:proofErr w:type="spellEnd"/>
      <w:proofErr w:type="gramStart"/>
      <w:r w:rsidRPr="0070480C">
        <w:rPr>
          <w:rFonts w:ascii="Arial" w:hAnsi="Arial" w:cs="Arial"/>
          <w:sz w:val="16"/>
          <w:szCs w:val="16"/>
        </w:rPr>
        <w:t>):S</w:t>
      </w:r>
      <w:proofErr w:type="gramEnd"/>
      <w:r w:rsidRPr="0070480C">
        <w:rPr>
          <w:rFonts w:ascii="Arial" w:hAnsi="Arial" w:cs="Arial"/>
          <w:sz w:val="16"/>
          <w:szCs w:val="16"/>
        </w:rPr>
        <w:t xml:space="preserve">63–S67. doi:10.1097/00001888-199009000-00045. </w:t>
      </w:r>
    </w:p>
    <w:p w14:paraId="027F1210" w14:textId="77777777" w:rsidR="005F4A6C" w:rsidRPr="0070480C" w:rsidRDefault="005F4A6C">
      <w:pPr>
        <w:numPr>
          <w:ilvl w:val="0"/>
          <w:numId w:val="6"/>
        </w:numPr>
        <w:spacing w:after="0"/>
        <w:rPr>
          <w:rFonts w:ascii="Arial" w:hAnsi="Arial" w:cs="Arial"/>
          <w:sz w:val="16"/>
          <w:szCs w:val="16"/>
        </w:rPr>
      </w:pPr>
      <w:r w:rsidRPr="0070480C">
        <w:rPr>
          <w:rFonts w:ascii="Arial" w:hAnsi="Arial" w:cs="Arial"/>
          <w:sz w:val="16"/>
          <w:szCs w:val="16"/>
        </w:rPr>
        <w:t xml:space="preserve">Mayne E, Pillay K. Response to MBChB Year 3 Class Representatives regarding Assessment 1 marks and feedback. Cape Town: University of Cape Town, Department of Pathology; 2026. Internal correspondence. </w:t>
      </w:r>
    </w:p>
    <w:p w14:paraId="0646E25D" w14:textId="1D1073B6" w:rsidR="0070480C" w:rsidRPr="0070480C" w:rsidRDefault="005F4A6C">
      <w:pPr>
        <w:numPr>
          <w:ilvl w:val="0"/>
          <w:numId w:val="6"/>
        </w:numPr>
        <w:spacing w:after="0"/>
        <w:rPr>
          <w:rFonts w:ascii="Arial" w:hAnsi="Arial" w:cs="Arial"/>
          <w:sz w:val="18"/>
          <w:szCs w:val="18"/>
        </w:rPr>
        <w:sectPr w:rsidR="0070480C" w:rsidRPr="0070480C" w:rsidSect="0070480C">
          <w:type w:val="continuous"/>
          <w:pgSz w:w="16838" w:h="11906" w:orient="landscape"/>
          <w:pgMar w:top="1080" w:right="1440" w:bottom="1080" w:left="1440" w:header="708" w:footer="708" w:gutter="0"/>
          <w:cols w:num="2" w:space="708"/>
          <w:titlePg/>
          <w:docGrid w:linePitch="360"/>
        </w:sectPr>
      </w:pPr>
      <w:r w:rsidRPr="0070480C">
        <w:rPr>
          <w:rFonts w:ascii="Arial" w:hAnsi="Arial" w:cs="Arial"/>
          <w:sz w:val="16"/>
          <w:szCs w:val="16"/>
        </w:rPr>
        <w:t>Year 3 MBChB Class Representatives. Request regarding Assessment 1 marks, feedback, component marks and cohort statistics. Cape Town: University of Cape Town; 2026. Internal correspondenc</w:t>
      </w:r>
      <w:r w:rsidR="001C4C82">
        <w:rPr>
          <w:rFonts w:ascii="Arial" w:hAnsi="Arial" w:cs="Arial"/>
          <w:sz w:val="16"/>
          <w:szCs w:val="16"/>
        </w:rPr>
        <w:t>e.</w:t>
      </w:r>
    </w:p>
    <w:p w14:paraId="338D5AA0" w14:textId="752D0884" w:rsidR="00D531F6" w:rsidRPr="00C95A65" w:rsidRDefault="00C95A65" w:rsidP="00C12277">
      <w:pPr>
        <w:pStyle w:val="Heading1"/>
        <w:rPr>
          <w:rFonts w:ascii="Gill Sans MT" w:hAnsi="Gill Sans MT" w:cs="Arial"/>
          <w:b/>
          <w:bCs/>
        </w:rPr>
      </w:pPr>
      <w:bookmarkStart w:id="13" w:name="_Toc229519674"/>
      <w:r w:rsidRPr="00C95A65">
        <w:rPr>
          <w:rFonts w:ascii="Gill Sans MT" w:hAnsi="Gill Sans MT" w:cs="Arial"/>
          <w:b/>
          <w:bCs/>
        </w:rPr>
        <w:lastRenderedPageBreak/>
        <w:t>A</w:t>
      </w:r>
      <w:r w:rsidR="00C12277" w:rsidRPr="00C95A65">
        <w:rPr>
          <w:rFonts w:ascii="Gill Sans MT" w:hAnsi="Gill Sans MT" w:cs="Arial"/>
          <w:b/>
          <w:bCs/>
        </w:rPr>
        <w:t>PPENDICES</w:t>
      </w:r>
      <w:bookmarkEnd w:id="13"/>
    </w:p>
    <w:p w14:paraId="04B21686" w14:textId="17ABC410" w:rsidR="0020526B" w:rsidRPr="00C95A65" w:rsidRDefault="0020526B" w:rsidP="00C12277">
      <w:pPr>
        <w:pStyle w:val="Heading2"/>
        <w:rPr>
          <w:rFonts w:ascii="Gill Sans MT" w:hAnsi="Gill Sans MT" w:cs="Arial"/>
          <w:b/>
          <w:bCs/>
        </w:rPr>
      </w:pPr>
      <w:bookmarkStart w:id="14" w:name="_Appendix_A:_Digital"/>
      <w:bookmarkStart w:id="15" w:name="_Toc229519675"/>
      <w:bookmarkEnd w:id="14"/>
      <w:r w:rsidRPr="00C95A65">
        <w:rPr>
          <w:rFonts w:ascii="Gill Sans MT" w:hAnsi="Gill Sans MT" w:cs="Arial"/>
          <w:b/>
          <w:bCs/>
        </w:rPr>
        <w:t>Appendix A: Digital SAQ Design Checklist</w:t>
      </w:r>
      <w:bookmarkEnd w:id="15"/>
    </w:p>
    <w:p w14:paraId="3F16D7C4" w14:textId="77777777" w:rsidR="0020526B" w:rsidRPr="005F4A6C" w:rsidRDefault="0020526B" w:rsidP="0020526B">
      <w:pPr>
        <w:tabs>
          <w:tab w:val="left" w:pos="1337"/>
        </w:tabs>
        <w:rPr>
          <w:rFonts w:ascii="Arial" w:hAnsi="Arial" w:cs="Arial"/>
          <w:sz w:val="22"/>
          <w:szCs w:val="22"/>
        </w:rPr>
      </w:pPr>
      <w:r w:rsidRPr="005F4A6C">
        <w:rPr>
          <w:rFonts w:ascii="Arial" w:hAnsi="Arial" w:cs="Arial"/>
          <w:sz w:val="22"/>
          <w:szCs w:val="22"/>
        </w:rPr>
        <w:t>This checklist is intended for use before computer-based SAQs are released to students. It focuses on whether the digital format supports the intended assessment task, particularly where students are required to interpret clinical vignettes, images, investigations or linked source material.</w:t>
      </w:r>
    </w:p>
    <w:tbl>
      <w:tblPr>
        <w:tblStyle w:val="GridTable1Light"/>
        <w:tblW w:w="0" w:type="auto"/>
        <w:tblLook w:val="04A0" w:firstRow="1" w:lastRow="0" w:firstColumn="1" w:lastColumn="0" w:noHBand="0" w:noVBand="1"/>
      </w:tblPr>
      <w:tblGrid>
        <w:gridCol w:w="1931"/>
        <w:gridCol w:w="3779"/>
        <w:gridCol w:w="4275"/>
        <w:gridCol w:w="3963"/>
      </w:tblGrid>
      <w:tr w:rsidR="0020526B" w:rsidRPr="005F4A6C" w14:paraId="4C06330D" w14:textId="77777777" w:rsidTr="00C9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6A603FCF" w14:textId="77777777" w:rsidR="0020526B" w:rsidRPr="009B032C" w:rsidRDefault="0020526B" w:rsidP="0020526B">
            <w:pPr>
              <w:tabs>
                <w:tab w:val="left" w:pos="1337"/>
              </w:tabs>
              <w:spacing w:after="160" w:line="278" w:lineRule="auto"/>
              <w:rPr>
                <w:rFonts w:ascii="Gill Sans MT" w:hAnsi="Gill Sans MT" w:cs="Arial"/>
                <w:sz w:val="22"/>
                <w:szCs w:val="22"/>
              </w:rPr>
            </w:pPr>
            <w:r w:rsidRPr="009B032C">
              <w:rPr>
                <w:rFonts w:ascii="Gill Sans MT" w:hAnsi="Gill Sans MT" w:cs="Arial"/>
                <w:sz w:val="22"/>
                <w:szCs w:val="22"/>
              </w:rPr>
              <w:t>Design area</w:t>
            </w:r>
          </w:p>
        </w:tc>
        <w:tc>
          <w:tcPr>
            <w:tcW w:w="0" w:type="auto"/>
            <w:shd w:val="clear" w:color="auto" w:fill="002060"/>
            <w:hideMark/>
          </w:tcPr>
          <w:p w14:paraId="097CDE97" w14:textId="77777777" w:rsidR="0020526B" w:rsidRPr="009B032C" w:rsidRDefault="0020526B" w:rsidP="002052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Gill Sans MT" w:hAnsi="Gill Sans MT" w:cs="Arial"/>
                <w:sz w:val="22"/>
                <w:szCs w:val="22"/>
              </w:rPr>
            </w:pPr>
            <w:r w:rsidRPr="009B032C">
              <w:rPr>
                <w:rFonts w:ascii="Gill Sans MT" w:hAnsi="Gill Sans MT" w:cs="Arial"/>
                <w:sz w:val="22"/>
                <w:szCs w:val="22"/>
              </w:rPr>
              <w:t>Key check</w:t>
            </w:r>
          </w:p>
        </w:tc>
        <w:tc>
          <w:tcPr>
            <w:tcW w:w="0" w:type="auto"/>
            <w:shd w:val="clear" w:color="auto" w:fill="002060"/>
            <w:hideMark/>
          </w:tcPr>
          <w:p w14:paraId="1673FA09" w14:textId="77777777" w:rsidR="0020526B" w:rsidRPr="009B032C" w:rsidRDefault="0020526B" w:rsidP="002052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Gill Sans MT" w:hAnsi="Gill Sans MT" w:cs="Arial"/>
                <w:sz w:val="22"/>
                <w:szCs w:val="22"/>
              </w:rPr>
            </w:pPr>
            <w:r w:rsidRPr="009B032C">
              <w:rPr>
                <w:rFonts w:ascii="Gill Sans MT" w:hAnsi="Gill Sans MT" w:cs="Arial"/>
                <w:sz w:val="22"/>
                <w:szCs w:val="22"/>
              </w:rPr>
              <w:t>Why it matters</w:t>
            </w:r>
          </w:p>
        </w:tc>
        <w:tc>
          <w:tcPr>
            <w:tcW w:w="0" w:type="auto"/>
            <w:shd w:val="clear" w:color="auto" w:fill="002060"/>
            <w:hideMark/>
          </w:tcPr>
          <w:p w14:paraId="7A4BE111" w14:textId="77777777" w:rsidR="0020526B" w:rsidRPr="009B032C" w:rsidRDefault="0020526B" w:rsidP="002052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Gill Sans MT" w:hAnsi="Gill Sans MT" w:cs="Arial"/>
                <w:sz w:val="22"/>
                <w:szCs w:val="22"/>
              </w:rPr>
            </w:pPr>
            <w:r w:rsidRPr="009B032C">
              <w:rPr>
                <w:rFonts w:ascii="Gill Sans MT" w:hAnsi="Gill Sans MT" w:cs="Arial"/>
                <w:sz w:val="22"/>
                <w:szCs w:val="22"/>
              </w:rPr>
              <w:t>Possible action if concern is identified</w:t>
            </w:r>
          </w:p>
        </w:tc>
      </w:tr>
      <w:tr w:rsidR="0020526B" w:rsidRPr="005F4A6C" w14:paraId="1D98F4E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4E14687"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Vignette visibility</w:t>
            </w:r>
          </w:p>
        </w:tc>
        <w:tc>
          <w:tcPr>
            <w:tcW w:w="0" w:type="auto"/>
            <w:hideMark/>
          </w:tcPr>
          <w:p w14:paraId="715B637C"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Can students view the relevant vignette or source material while answering linked questions?</w:t>
            </w:r>
          </w:p>
        </w:tc>
        <w:tc>
          <w:tcPr>
            <w:tcW w:w="0" w:type="auto"/>
            <w:hideMark/>
          </w:tcPr>
          <w:p w14:paraId="5A047FF6"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Students should not need to repeatedly hold clinical information in working memory or navigate away from the answer field to retrieve essential details.</w:t>
            </w:r>
          </w:p>
        </w:tc>
        <w:tc>
          <w:tcPr>
            <w:tcW w:w="0" w:type="auto"/>
            <w:hideMark/>
          </w:tcPr>
          <w:p w14:paraId="79ADDA34"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Use persistent stem display, split-screen layout, grouped questions under the stem, or a printed source pack.</w:t>
            </w:r>
          </w:p>
        </w:tc>
      </w:tr>
      <w:tr w:rsidR="0020526B" w:rsidRPr="005F4A6C" w14:paraId="75E31628"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0FF901A4"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Linked questions</w:t>
            </w:r>
          </w:p>
        </w:tc>
        <w:tc>
          <w:tcPr>
            <w:tcW w:w="0" w:type="auto"/>
            <w:hideMark/>
          </w:tcPr>
          <w:p w14:paraId="5EC0A660"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Are questions linked to the same vignette grouped clearly and logically?</w:t>
            </w:r>
          </w:p>
        </w:tc>
        <w:tc>
          <w:tcPr>
            <w:tcW w:w="0" w:type="auto"/>
            <w:hideMark/>
          </w:tcPr>
          <w:p w14:paraId="1FBB9AC0"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Fragmented question layout can make it harder for students to understand which information applies to which answer.</w:t>
            </w:r>
          </w:p>
        </w:tc>
        <w:tc>
          <w:tcPr>
            <w:tcW w:w="0" w:type="auto"/>
            <w:hideMark/>
          </w:tcPr>
          <w:p w14:paraId="7B2C8479"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Group linked questions together, label them clearly, and avoid unnecessary separation across pages or sections.</w:t>
            </w:r>
          </w:p>
        </w:tc>
      </w:tr>
      <w:tr w:rsidR="0020526B" w:rsidRPr="005F4A6C" w14:paraId="47A8BC89"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3D5F4A5"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Image and investigation legibility</w:t>
            </w:r>
          </w:p>
        </w:tc>
        <w:tc>
          <w:tcPr>
            <w:tcW w:w="0" w:type="auto"/>
            <w:hideMark/>
          </w:tcPr>
          <w:p w14:paraId="62171802"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Are images, tables, blood results, ECGs, radiology, graphs and investigation panels readable on the actual platform and screen size students will use?</w:t>
            </w:r>
          </w:p>
        </w:tc>
        <w:tc>
          <w:tcPr>
            <w:tcW w:w="0" w:type="auto"/>
            <w:hideMark/>
          </w:tcPr>
          <w:p w14:paraId="2B00FC2A"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stimulus that is clear in Word or PDF may become difficult to interpret once uploaded. If the stimulus is hard to read, the assessment may test visibility rather than reasoning.</w:t>
            </w:r>
          </w:p>
        </w:tc>
        <w:tc>
          <w:tcPr>
            <w:tcW w:w="0" w:type="auto"/>
            <w:hideMark/>
          </w:tcPr>
          <w:p w14:paraId="5FD69F43"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Check all stimuli on the platform before release; adjust resolution, size or layout; provide printed source material where needed.</w:t>
            </w:r>
          </w:p>
        </w:tc>
      </w:tr>
      <w:tr w:rsidR="0020526B" w:rsidRPr="005F4A6C" w14:paraId="786115ED"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F559C87"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Navigation burden</w:t>
            </w:r>
          </w:p>
        </w:tc>
        <w:tc>
          <w:tcPr>
            <w:tcW w:w="0" w:type="auto"/>
            <w:hideMark/>
          </w:tcPr>
          <w:p w14:paraId="0262A8D6"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Does the layout require excessive scrolling, zooming, page-switching or movement between source material and answer fields?</w:t>
            </w:r>
          </w:p>
        </w:tc>
        <w:tc>
          <w:tcPr>
            <w:tcW w:w="0" w:type="auto"/>
            <w:hideMark/>
          </w:tcPr>
          <w:p w14:paraId="1DF3B94A"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Digital navigation adds time and cognitive load. Where navigation becomes cumbersome, it can interfere with the intended reasoning task.</w:t>
            </w:r>
          </w:p>
        </w:tc>
        <w:tc>
          <w:tcPr>
            <w:tcW w:w="0" w:type="auto"/>
            <w:hideMark/>
          </w:tcPr>
          <w:p w14:paraId="2A18116C"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Simplify layout, reduce unnecessary scrolling, keep source material near answer fields, or adjust timing where navigation burden is unavoidable.</w:t>
            </w:r>
          </w:p>
        </w:tc>
      </w:tr>
      <w:tr w:rsidR="0020526B" w:rsidRPr="005F4A6C" w14:paraId="76E929E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F93200E"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Source material format</w:t>
            </w:r>
          </w:p>
        </w:tc>
        <w:tc>
          <w:tcPr>
            <w:tcW w:w="0" w:type="auto"/>
            <w:hideMark/>
          </w:tcPr>
          <w:p w14:paraId="0A4195C7"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Would a printed source pack better support interpretation of dense </w:t>
            </w:r>
            <w:r w:rsidRPr="005F4A6C">
              <w:rPr>
                <w:rFonts w:ascii="Arial" w:hAnsi="Arial" w:cs="Arial"/>
                <w:sz w:val="22"/>
                <w:szCs w:val="22"/>
              </w:rPr>
              <w:lastRenderedPageBreak/>
              <w:t>vignettes, images or investigation panels?</w:t>
            </w:r>
          </w:p>
        </w:tc>
        <w:tc>
          <w:tcPr>
            <w:tcW w:w="0" w:type="auto"/>
            <w:hideMark/>
          </w:tcPr>
          <w:p w14:paraId="111B9ADC"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lastRenderedPageBreak/>
              <w:t xml:space="preserve">Hybrid formats can preserve digital answer submission while allowing </w:t>
            </w:r>
            <w:r w:rsidRPr="005F4A6C">
              <w:rPr>
                <w:rFonts w:ascii="Arial" w:hAnsi="Arial" w:cs="Arial"/>
                <w:sz w:val="22"/>
                <w:szCs w:val="22"/>
              </w:rPr>
              <w:lastRenderedPageBreak/>
              <w:t>students to annotate, highlight and repeatedly reference complex material.</w:t>
            </w:r>
          </w:p>
        </w:tc>
        <w:tc>
          <w:tcPr>
            <w:tcW w:w="0" w:type="auto"/>
            <w:hideMark/>
          </w:tcPr>
          <w:p w14:paraId="6B1099CC"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lastRenderedPageBreak/>
              <w:t xml:space="preserve">Provide a printed source pack for selected vignettes, images or </w:t>
            </w:r>
            <w:r w:rsidRPr="005F4A6C">
              <w:rPr>
                <w:rFonts w:ascii="Arial" w:hAnsi="Arial" w:cs="Arial"/>
                <w:sz w:val="22"/>
                <w:szCs w:val="22"/>
              </w:rPr>
              <w:lastRenderedPageBreak/>
              <w:t>investigations while keeping responses electronic.</w:t>
            </w:r>
          </w:p>
        </w:tc>
      </w:tr>
      <w:tr w:rsidR="0020526B" w:rsidRPr="005F4A6C" w14:paraId="2AFD3EBC"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9FA955B"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lastRenderedPageBreak/>
              <w:t>Planning space</w:t>
            </w:r>
          </w:p>
        </w:tc>
        <w:tc>
          <w:tcPr>
            <w:tcW w:w="0" w:type="auto"/>
            <w:hideMark/>
          </w:tcPr>
          <w:p w14:paraId="4D40B4AD"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Does the task require mechanisms, diagrams, calculations, pathways, differentials or multi-step reasoning?</w:t>
            </w:r>
          </w:p>
        </w:tc>
        <w:tc>
          <w:tcPr>
            <w:tcW w:w="0" w:type="auto"/>
            <w:hideMark/>
          </w:tcPr>
          <w:p w14:paraId="46602AE9"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Some reasoning tasks benefit from quick external organisation. Removing all planning space may unintentionally alter the task being assessed.</w:t>
            </w:r>
          </w:p>
        </w:tc>
        <w:tc>
          <w:tcPr>
            <w:tcW w:w="0" w:type="auto"/>
            <w:hideMark/>
          </w:tcPr>
          <w:p w14:paraId="725B1338"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Allow scrap paper where appropriate, with clear instructions on whether it is collected, ignored or destroyed after the assessment.</w:t>
            </w:r>
          </w:p>
        </w:tc>
      </w:tr>
      <w:tr w:rsidR="0020526B" w:rsidRPr="005F4A6C" w14:paraId="362F049D"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05C81A5"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Response field suitability</w:t>
            </w:r>
          </w:p>
        </w:tc>
        <w:tc>
          <w:tcPr>
            <w:tcW w:w="0" w:type="auto"/>
            <w:hideMark/>
          </w:tcPr>
          <w:p w14:paraId="07E67E7F"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answer field appropriate for the expected response length and structure?</w:t>
            </w:r>
          </w:p>
        </w:tc>
        <w:tc>
          <w:tcPr>
            <w:tcW w:w="0" w:type="auto"/>
            <w:hideMark/>
          </w:tcPr>
          <w:p w14:paraId="308F82AA"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cramped or awkward response box can affect how students construct explanations, lists, mechanisms or structured answers.</w:t>
            </w:r>
          </w:p>
        </w:tc>
        <w:tc>
          <w:tcPr>
            <w:tcW w:w="0" w:type="auto"/>
            <w:hideMark/>
          </w:tcPr>
          <w:p w14:paraId="0C9473E6"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Ensure sufficient answer space, allow line breaks where needed, and clarify whether bullet points, phrases or paragraphs are acceptable.</w:t>
            </w:r>
          </w:p>
        </w:tc>
      </w:tr>
      <w:tr w:rsidR="0020526B" w:rsidRPr="005F4A6C" w14:paraId="2D10B736"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4D0CE81"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Timing implications</w:t>
            </w:r>
          </w:p>
        </w:tc>
        <w:tc>
          <w:tcPr>
            <w:tcW w:w="0" w:type="auto"/>
            <w:hideMark/>
          </w:tcPr>
          <w:p w14:paraId="198F120B"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Has the digital workflow burden been considered when estimating time?</w:t>
            </w:r>
          </w:p>
        </w:tc>
        <w:tc>
          <w:tcPr>
            <w:tcW w:w="0" w:type="auto"/>
            <w:hideMark/>
          </w:tcPr>
          <w:p w14:paraId="20B3E80B"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Reading, interpreting, navigating, typing and reviewing all take time. Marks alone may not reflect the actual time required.</w:t>
            </w:r>
          </w:p>
        </w:tc>
        <w:tc>
          <w:tcPr>
            <w:tcW w:w="0" w:type="auto"/>
            <w:hideMark/>
          </w:tcPr>
          <w:p w14:paraId="30D9C2BE"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Review timing after upload to the platform; adjust time, marks, wording or layout where the task demand is disproportionate.</w:t>
            </w:r>
          </w:p>
        </w:tc>
      </w:tr>
      <w:tr w:rsidR="0020526B" w:rsidRPr="005F4A6C" w14:paraId="0C2061A5"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75515154"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Instructions to students</w:t>
            </w:r>
          </w:p>
        </w:tc>
        <w:tc>
          <w:tcPr>
            <w:tcW w:w="0" w:type="auto"/>
            <w:hideMark/>
          </w:tcPr>
          <w:p w14:paraId="4BAA04FE"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Are instructions clear on navigation, saving, submission, scrap paper, source packs, answer format and what to do if technical issues occur?</w:t>
            </w:r>
          </w:p>
        </w:tc>
        <w:tc>
          <w:tcPr>
            <w:tcW w:w="0" w:type="auto"/>
            <w:hideMark/>
          </w:tcPr>
          <w:p w14:paraId="548E5951"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Many avoidable problems arise from uncertainty about the format rather than the content.</w:t>
            </w:r>
          </w:p>
        </w:tc>
        <w:tc>
          <w:tcPr>
            <w:tcW w:w="0" w:type="auto"/>
            <w:hideMark/>
          </w:tcPr>
          <w:p w14:paraId="7405587B"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Provide concise pre-assessment guidance and repeat key instructions at the start of the sitting.</w:t>
            </w:r>
          </w:p>
        </w:tc>
      </w:tr>
      <w:tr w:rsidR="0020526B" w:rsidRPr="005F4A6C" w14:paraId="2EDE7514"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14EAD44" w14:textId="77777777" w:rsidR="0020526B" w:rsidRPr="005F4A6C" w:rsidRDefault="0020526B" w:rsidP="0020526B">
            <w:pPr>
              <w:tabs>
                <w:tab w:val="left" w:pos="1337"/>
              </w:tabs>
              <w:spacing w:after="160" w:line="278" w:lineRule="auto"/>
              <w:rPr>
                <w:rFonts w:ascii="Arial" w:hAnsi="Arial" w:cs="Arial"/>
                <w:sz w:val="22"/>
                <w:szCs w:val="22"/>
              </w:rPr>
            </w:pPr>
            <w:r w:rsidRPr="005F4A6C">
              <w:rPr>
                <w:rFonts w:ascii="Arial" w:hAnsi="Arial" w:cs="Arial"/>
                <w:sz w:val="22"/>
                <w:szCs w:val="22"/>
              </w:rPr>
              <w:t>Platform-based review</w:t>
            </w:r>
          </w:p>
        </w:tc>
        <w:tc>
          <w:tcPr>
            <w:tcW w:w="0" w:type="auto"/>
            <w:hideMark/>
          </w:tcPr>
          <w:p w14:paraId="5259D7A1"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Has at least one reviewer completed the uploaded assessment on the actual platform under realistic conditions?</w:t>
            </w:r>
          </w:p>
        </w:tc>
        <w:tc>
          <w:tcPr>
            <w:tcW w:w="0" w:type="auto"/>
            <w:hideMark/>
          </w:tcPr>
          <w:p w14:paraId="5BB211BB"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Reviewing the paper in Word or PDF does not reveal the actual student experience of navigation, visibility, timing and response entry.</w:t>
            </w:r>
          </w:p>
        </w:tc>
        <w:tc>
          <w:tcPr>
            <w:tcW w:w="0" w:type="auto"/>
            <w:hideMark/>
          </w:tcPr>
          <w:p w14:paraId="595F0F65" w14:textId="77777777" w:rsidR="0020526B" w:rsidRPr="005F4A6C" w:rsidRDefault="0020526B" w:rsidP="002052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Require platform-based review before release, especially for new formats, large </w:t>
            </w:r>
            <w:proofErr w:type="spellStart"/>
            <w:r w:rsidRPr="005F4A6C">
              <w:rPr>
                <w:rFonts w:ascii="Arial" w:hAnsi="Arial" w:cs="Arial"/>
                <w:sz w:val="22"/>
                <w:szCs w:val="22"/>
              </w:rPr>
              <w:t>summatives</w:t>
            </w:r>
            <w:proofErr w:type="spellEnd"/>
            <w:r w:rsidRPr="005F4A6C">
              <w:rPr>
                <w:rFonts w:ascii="Arial" w:hAnsi="Arial" w:cs="Arial"/>
                <w:sz w:val="22"/>
                <w:szCs w:val="22"/>
              </w:rPr>
              <w:t xml:space="preserve"> or image/vignette-heavy assessments.</w:t>
            </w:r>
          </w:p>
        </w:tc>
      </w:tr>
    </w:tbl>
    <w:p w14:paraId="273E3C83" w14:textId="77777777" w:rsidR="0020526B" w:rsidRPr="005F4A6C" w:rsidRDefault="0020526B" w:rsidP="0020526B">
      <w:pPr>
        <w:tabs>
          <w:tab w:val="left" w:pos="1337"/>
        </w:tabs>
        <w:rPr>
          <w:rFonts w:ascii="Arial" w:hAnsi="Arial" w:cs="Arial"/>
          <w:sz w:val="22"/>
          <w:szCs w:val="22"/>
        </w:rPr>
      </w:pPr>
      <w:r w:rsidRPr="005F4A6C">
        <w:rPr>
          <w:rFonts w:ascii="Arial" w:hAnsi="Arial" w:cs="Arial"/>
          <w:sz w:val="22"/>
          <w:szCs w:val="22"/>
        </w:rPr>
        <w:t>Minimum release standard: Before a computer-based SAQ is released, the course team should be able to confirm that source material is accessible, stimuli are legible, navigation is manageable, timing reflects digital workflow, students have clear instructions, and at least one reviewer has tested the assessment on the actual platform.</w:t>
      </w:r>
    </w:p>
    <w:p w14:paraId="41CC266E" w14:textId="07ECE1F4" w:rsidR="00C92B06" w:rsidRPr="00C95A65" w:rsidRDefault="00C92B06" w:rsidP="00C12277">
      <w:pPr>
        <w:pStyle w:val="Heading2"/>
        <w:rPr>
          <w:rFonts w:ascii="Gill Sans MT" w:hAnsi="Gill Sans MT" w:cs="Arial"/>
          <w:b/>
          <w:bCs/>
        </w:rPr>
      </w:pPr>
      <w:bookmarkStart w:id="16" w:name="_Appendix_B:_SAQ"/>
      <w:bookmarkStart w:id="17" w:name="_Toc229519676"/>
      <w:bookmarkEnd w:id="16"/>
      <w:r w:rsidRPr="00C95A65">
        <w:rPr>
          <w:rFonts w:ascii="Gill Sans MT" w:hAnsi="Gill Sans MT" w:cs="Arial"/>
          <w:b/>
          <w:bCs/>
        </w:rPr>
        <w:lastRenderedPageBreak/>
        <w:t>Appendix B: SAQ Complexity and Timing Review Matrix</w:t>
      </w:r>
      <w:bookmarkEnd w:id="17"/>
    </w:p>
    <w:p w14:paraId="4FEB23B9" w14:textId="77777777" w:rsidR="00C92B06" w:rsidRPr="005F4A6C" w:rsidRDefault="00C92B06" w:rsidP="00C92B06">
      <w:pPr>
        <w:tabs>
          <w:tab w:val="left" w:pos="1337"/>
        </w:tabs>
        <w:rPr>
          <w:rFonts w:ascii="Arial" w:hAnsi="Arial" w:cs="Arial"/>
          <w:sz w:val="22"/>
          <w:szCs w:val="22"/>
        </w:rPr>
      </w:pPr>
      <w:r w:rsidRPr="005F4A6C">
        <w:rPr>
          <w:rFonts w:ascii="Arial" w:hAnsi="Arial" w:cs="Arial"/>
          <w:sz w:val="22"/>
          <w:szCs w:val="22"/>
        </w:rPr>
        <w:t>This matrix is intended to support review of SAQs before finalisation, particularly where questions are vignette-based, image-based, clinically integrated, or delivered on a digital platform. It is not intended to make every question administratively heavy. Rather, it helps reviewers identify when a question’s content, clinical context, stimulus, reasoning demand, response burden, and digital workflow may together make the item more complex than its marks or time allocation suggest.</w:t>
      </w:r>
    </w:p>
    <w:tbl>
      <w:tblPr>
        <w:tblStyle w:val="GridTable1Light"/>
        <w:tblW w:w="0" w:type="auto"/>
        <w:tblLook w:val="04A0" w:firstRow="1" w:lastRow="0" w:firstColumn="1" w:lastColumn="0" w:noHBand="0" w:noVBand="1"/>
      </w:tblPr>
      <w:tblGrid>
        <w:gridCol w:w="2188"/>
        <w:gridCol w:w="4340"/>
        <w:gridCol w:w="3574"/>
        <w:gridCol w:w="3846"/>
      </w:tblGrid>
      <w:tr w:rsidR="00C92B06" w:rsidRPr="005F4A6C" w14:paraId="224942C2" w14:textId="77777777" w:rsidTr="00C9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0AC66147"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Review dimension</w:t>
            </w:r>
          </w:p>
        </w:tc>
        <w:tc>
          <w:tcPr>
            <w:tcW w:w="0" w:type="auto"/>
            <w:shd w:val="clear" w:color="auto" w:fill="002060"/>
            <w:hideMark/>
          </w:tcPr>
          <w:p w14:paraId="778E97F0" w14:textId="77777777" w:rsidR="00C92B06" w:rsidRPr="005F4A6C" w:rsidRDefault="00C92B06" w:rsidP="00C92B06">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Key check</w:t>
            </w:r>
          </w:p>
        </w:tc>
        <w:tc>
          <w:tcPr>
            <w:tcW w:w="0" w:type="auto"/>
            <w:shd w:val="clear" w:color="auto" w:fill="002060"/>
            <w:hideMark/>
          </w:tcPr>
          <w:p w14:paraId="3467C667" w14:textId="77777777" w:rsidR="00C92B06" w:rsidRPr="005F4A6C" w:rsidRDefault="00C92B06" w:rsidP="00C92B06">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What this may reveal</w:t>
            </w:r>
          </w:p>
        </w:tc>
        <w:tc>
          <w:tcPr>
            <w:tcW w:w="0" w:type="auto"/>
            <w:shd w:val="clear" w:color="auto" w:fill="002060"/>
            <w:hideMark/>
          </w:tcPr>
          <w:p w14:paraId="0C332CC5" w14:textId="77777777" w:rsidR="00C92B06" w:rsidRPr="005F4A6C" w:rsidRDefault="00C92B06" w:rsidP="00C92B06">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Possible action</w:t>
            </w:r>
          </w:p>
        </w:tc>
      </w:tr>
      <w:tr w:rsidR="00C92B06" w:rsidRPr="005F4A6C" w14:paraId="77ACD7EF"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F92C100"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Content difficulty</w:t>
            </w:r>
          </w:p>
        </w:tc>
        <w:tc>
          <w:tcPr>
            <w:tcW w:w="0" w:type="auto"/>
            <w:hideMark/>
          </w:tcPr>
          <w:p w14:paraId="6C030380"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content core, important but less common, or extension-level? Was it taught directly, indirectly, or assumed from prior learning?</w:t>
            </w:r>
          </w:p>
        </w:tc>
        <w:tc>
          <w:tcPr>
            <w:tcW w:w="0" w:type="auto"/>
            <w:hideMark/>
          </w:tcPr>
          <w:p w14:paraId="4AAA31EC"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question may be technically in scope but over-weight rare, obscure, or insufficiently taught content.</w:t>
            </w:r>
          </w:p>
        </w:tc>
        <w:tc>
          <w:tcPr>
            <w:tcW w:w="0" w:type="auto"/>
            <w:hideMark/>
          </w:tcPr>
          <w:p w14:paraId="7E49FE47"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Reconsider inclusion, reduce weighting, provide clearer contextual information, or ensure alignment with stated learning outcomes.</w:t>
            </w:r>
          </w:p>
        </w:tc>
      </w:tr>
      <w:tr w:rsidR="00C92B06" w:rsidRPr="005F4A6C" w14:paraId="56E2DC91"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CE4ECA0"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Clinical-context difficulty</w:t>
            </w:r>
          </w:p>
        </w:tc>
        <w:tc>
          <w:tcPr>
            <w:tcW w:w="0" w:type="auto"/>
            <w:hideMark/>
          </w:tcPr>
          <w:p w14:paraId="35569942"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vignette straightforward, integrated, ambiguous, or requiring prioritisation between competing possibilities? Does it assume clinical exposure students have not yet had?</w:t>
            </w:r>
          </w:p>
        </w:tc>
        <w:tc>
          <w:tcPr>
            <w:tcW w:w="0" w:type="auto"/>
            <w:hideMark/>
          </w:tcPr>
          <w:p w14:paraId="5642385D"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question may test premature clinical familiarity rather than the intended scientific or clinical reasoning.</w:t>
            </w:r>
          </w:p>
        </w:tc>
        <w:tc>
          <w:tcPr>
            <w:tcW w:w="0" w:type="auto"/>
            <w:hideMark/>
          </w:tcPr>
          <w:p w14:paraId="45793B40"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Revise the vignette, provide necessary clinical information, adjust the expected reasoning level, or move the item to a later stage of training.</w:t>
            </w:r>
          </w:p>
        </w:tc>
      </w:tr>
      <w:tr w:rsidR="00C92B06" w:rsidRPr="005F4A6C" w14:paraId="45D4E5A4"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8348A1B"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Stimulus difficulty</w:t>
            </w:r>
          </w:p>
        </w:tc>
        <w:tc>
          <w:tcPr>
            <w:tcW w:w="0" w:type="auto"/>
            <w:hideMark/>
          </w:tcPr>
          <w:p w14:paraId="72A30912"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Does the item require interpretation of histology, microscopy, radiology, ECGs, blood results, graphs, tables, ethics/legal material, or multiple data sources?</w:t>
            </w:r>
          </w:p>
        </w:tc>
        <w:tc>
          <w:tcPr>
            <w:tcW w:w="0" w:type="auto"/>
            <w:hideMark/>
          </w:tcPr>
          <w:p w14:paraId="739FDA84"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The stimulus itself may substantially increase difficulty, even where the underlying concept is familiar.</w:t>
            </w:r>
          </w:p>
        </w:tc>
        <w:tc>
          <w:tcPr>
            <w:tcW w:w="0" w:type="auto"/>
            <w:hideMark/>
          </w:tcPr>
          <w:p w14:paraId="568EF835"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Check stimulus clarity, improve formatting, simplify data presentation, provide source packs, or adjust timing and marks.</w:t>
            </w:r>
          </w:p>
        </w:tc>
      </w:tr>
      <w:tr w:rsidR="00C92B06" w:rsidRPr="005F4A6C" w14:paraId="6A1CB50A"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37A9CFF"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Cognitive-process difficulty</w:t>
            </w:r>
          </w:p>
        </w:tc>
        <w:tc>
          <w:tcPr>
            <w:tcW w:w="0" w:type="auto"/>
            <w:hideMark/>
          </w:tcPr>
          <w:p w14:paraId="61E5A300"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student being asked to recall, explain, compare, apply, justify, prioritise, generate a differential, or propose management?</w:t>
            </w:r>
          </w:p>
        </w:tc>
        <w:tc>
          <w:tcPr>
            <w:tcW w:w="0" w:type="auto"/>
            <w:hideMark/>
          </w:tcPr>
          <w:p w14:paraId="41AB11F7"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Different cognitive tasks require different levels of reasoning and should not be treated as equivalent.</w:t>
            </w:r>
          </w:p>
        </w:tc>
        <w:tc>
          <w:tcPr>
            <w:tcW w:w="0" w:type="auto"/>
            <w:hideMark/>
          </w:tcPr>
          <w:p w14:paraId="5ADCF7D6"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Align marks, timing and wording with the required cognitive process. Clarify command verbs such as “explain,” “justify,” “compare,” or “interpret.”</w:t>
            </w:r>
          </w:p>
        </w:tc>
      </w:tr>
      <w:tr w:rsidR="00C92B06" w:rsidRPr="005F4A6C" w14:paraId="479609E4"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A5A3AD7"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lastRenderedPageBreak/>
              <w:t>Response-production difficulty</w:t>
            </w:r>
          </w:p>
        </w:tc>
        <w:tc>
          <w:tcPr>
            <w:tcW w:w="0" w:type="auto"/>
            <w:hideMark/>
          </w:tcPr>
          <w:p w14:paraId="22902DC3"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expected answer a word, phrase, list, mechanism, calculation, structured explanation, paragraph, diagram, or multi-part response?</w:t>
            </w:r>
          </w:p>
        </w:tc>
        <w:tc>
          <w:tcPr>
            <w:tcW w:w="0" w:type="auto"/>
            <w:hideMark/>
          </w:tcPr>
          <w:p w14:paraId="10385BA6"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The expected form of the answer may require more time and structure than the mark allocation suggests.</w:t>
            </w:r>
          </w:p>
        </w:tc>
        <w:tc>
          <w:tcPr>
            <w:tcW w:w="0" w:type="auto"/>
            <w:hideMark/>
          </w:tcPr>
          <w:p w14:paraId="5D209F8F"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Provide sufficient marks and time, allow bullet points where appropriate, clarify expected response depth, or split complex responses into clearer sub-parts.</w:t>
            </w:r>
          </w:p>
        </w:tc>
      </w:tr>
      <w:tr w:rsidR="00C92B06" w:rsidRPr="005F4A6C" w14:paraId="0DB12723"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2063A9B"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Digital-workflow difficulty</w:t>
            </w:r>
          </w:p>
        </w:tc>
        <w:tc>
          <w:tcPr>
            <w:tcW w:w="0" w:type="auto"/>
            <w:hideMark/>
          </w:tcPr>
          <w:p w14:paraId="240330CA"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Must students scroll, zoom, move between pages, repeatedly return to the stem, compare multiple stimuli, or type while referring to source material?</w:t>
            </w:r>
          </w:p>
        </w:tc>
        <w:tc>
          <w:tcPr>
            <w:tcW w:w="0" w:type="auto"/>
            <w:hideMark/>
          </w:tcPr>
          <w:p w14:paraId="29737F1D"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The platform may add burden unrelated to the intended construct, especially in linked or stimulus-heavy SAQs.</w:t>
            </w:r>
          </w:p>
        </w:tc>
        <w:tc>
          <w:tcPr>
            <w:tcW w:w="0" w:type="auto"/>
            <w:hideMark/>
          </w:tcPr>
          <w:p w14:paraId="4EE04B2F"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Use persistent stem display, grouped questions, split-screen layout, printed source packs, or additional time where digital burden is unavoidable.</w:t>
            </w:r>
          </w:p>
        </w:tc>
      </w:tr>
      <w:tr w:rsidR="00C92B06" w:rsidRPr="005F4A6C" w14:paraId="1CF3499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037341E"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Timing demand</w:t>
            </w:r>
          </w:p>
        </w:tc>
        <w:tc>
          <w:tcPr>
            <w:tcW w:w="0" w:type="auto"/>
            <w:hideMark/>
          </w:tcPr>
          <w:p w14:paraId="40D74AE6"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Has reading, stimulus interpretation, reasoning, typing, navigation and review time been estimated after upload to the actual platform?</w:t>
            </w:r>
          </w:p>
        </w:tc>
        <w:tc>
          <w:tcPr>
            <w:tcW w:w="0" w:type="auto"/>
            <w:hideMark/>
          </w:tcPr>
          <w:p w14:paraId="1E6137E4"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question may appear reasonable in Word/PDF but become time-heavy in the digital environment.</w:t>
            </w:r>
          </w:p>
        </w:tc>
        <w:tc>
          <w:tcPr>
            <w:tcW w:w="0" w:type="auto"/>
            <w:hideMark/>
          </w:tcPr>
          <w:p w14:paraId="12A9F39B"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Ask a reviewer to complete the uploaded assessment under realistic conditions and adjust timing, layout, wording or mark allocation accordingly.</w:t>
            </w:r>
          </w:p>
        </w:tc>
      </w:tr>
      <w:tr w:rsidR="00C92B06" w:rsidRPr="005F4A6C" w14:paraId="4DF21714"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C5BF0BD"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Clinical relevance and impact</w:t>
            </w:r>
          </w:p>
        </w:tc>
        <w:tc>
          <w:tcPr>
            <w:tcW w:w="0" w:type="auto"/>
            <w:hideMark/>
          </w:tcPr>
          <w:p w14:paraId="2E2F614C"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content common, high-risk, foundational, or important for future clinical practice?</w:t>
            </w:r>
          </w:p>
        </w:tc>
        <w:tc>
          <w:tcPr>
            <w:tcW w:w="0" w:type="auto"/>
            <w:hideMark/>
          </w:tcPr>
          <w:p w14:paraId="6AB463E5"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Some difficult questions may be justified if the content is clinically important; others may not warrant the assessment burden.</w:t>
            </w:r>
          </w:p>
        </w:tc>
        <w:tc>
          <w:tcPr>
            <w:tcW w:w="0" w:type="auto"/>
            <w:hideMark/>
          </w:tcPr>
          <w:p w14:paraId="25692661"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Use clinical relevance to justify inclusion and weighting. Where relevance is low and burden is high, revise or remove.</w:t>
            </w:r>
          </w:p>
        </w:tc>
      </w:tr>
      <w:tr w:rsidR="00C92B06" w:rsidRPr="005F4A6C" w14:paraId="2F9963FD"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B6C2AD0"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Mark allocation</w:t>
            </w:r>
          </w:p>
        </w:tc>
        <w:tc>
          <w:tcPr>
            <w:tcW w:w="0" w:type="auto"/>
            <w:hideMark/>
          </w:tcPr>
          <w:p w14:paraId="5FB35184"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Do the marks reflect the actual task demand, including reasoning level, response length and stimulus interpretation?</w:t>
            </w:r>
          </w:p>
        </w:tc>
        <w:tc>
          <w:tcPr>
            <w:tcW w:w="0" w:type="auto"/>
            <w:hideMark/>
          </w:tcPr>
          <w:p w14:paraId="7D4B1AA1"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Small-mark questions may unintentionally require disproportionate work.</w:t>
            </w:r>
          </w:p>
        </w:tc>
        <w:tc>
          <w:tcPr>
            <w:tcW w:w="0" w:type="auto"/>
            <w:hideMark/>
          </w:tcPr>
          <w:p w14:paraId="45497EFC"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Avoid one- or two-mark questions that require long explanations, repeated source review, or multi-step reasoning unless clearly justified.</w:t>
            </w:r>
          </w:p>
        </w:tc>
      </w:tr>
      <w:tr w:rsidR="00C92B06" w:rsidRPr="005F4A6C" w14:paraId="06D5C2EA"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A9D9D9B" w14:textId="77777777" w:rsidR="00C92B06" w:rsidRPr="005F4A6C" w:rsidRDefault="00C92B06" w:rsidP="00C92B06">
            <w:pPr>
              <w:tabs>
                <w:tab w:val="left" w:pos="1337"/>
              </w:tabs>
              <w:spacing w:after="160" w:line="278" w:lineRule="auto"/>
              <w:rPr>
                <w:rFonts w:ascii="Arial" w:hAnsi="Arial" w:cs="Arial"/>
                <w:sz w:val="22"/>
                <w:szCs w:val="22"/>
              </w:rPr>
            </w:pPr>
            <w:r w:rsidRPr="005F4A6C">
              <w:rPr>
                <w:rFonts w:ascii="Arial" w:hAnsi="Arial" w:cs="Arial"/>
                <w:sz w:val="22"/>
                <w:szCs w:val="22"/>
              </w:rPr>
              <w:t>Stage appropriateness</w:t>
            </w:r>
          </w:p>
        </w:tc>
        <w:tc>
          <w:tcPr>
            <w:tcW w:w="0" w:type="auto"/>
            <w:hideMark/>
          </w:tcPr>
          <w:p w14:paraId="7BB3FBBA"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Is the question appropriate for the students’ current year, clinical exposure, and expected level of integration?</w:t>
            </w:r>
          </w:p>
        </w:tc>
        <w:tc>
          <w:tcPr>
            <w:tcW w:w="0" w:type="auto"/>
            <w:hideMark/>
          </w:tcPr>
          <w:p w14:paraId="42CD0628"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question may be appropriate for later clinical years but premature in early integrated courses.</w:t>
            </w:r>
          </w:p>
        </w:tc>
        <w:tc>
          <w:tcPr>
            <w:tcW w:w="0" w:type="auto"/>
            <w:hideMark/>
          </w:tcPr>
          <w:p w14:paraId="4E720279" w14:textId="77777777" w:rsidR="00C92B06" w:rsidRPr="005F4A6C" w:rsidRDefault="00C92B06" w:rsidP="00C92B06">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Adjust the vignette, provide more scaffolding, change the expected answer, or reserve the item for a later assessment point.</w:t>
            </w:r>
          </w:p>
        </w:tc>
      </w:tr>
    </w:tbl>
    <w:p w14:paraId="61A0CDEB" w14:textId="51AC9B8C" w:rsidR="00CC5004" w:rsidRPr="00C95A65" w:rsidRDefault="00CC5004" w:rsidP="00C12277">
      <w:pPr>
        <w:pStyle w:val="Heading2"/>
        <w:rPr>
          <w:rFonts w:ascii="Gill Sans MT" w:hAnsi="Gill Sans MT" w:cs="Arial"/>
          <w:b/>
          <w:bCs/>
        </w:rPr>
      </w:pPr>
      <w:bookmarkStart w:id="18" w:name="_Appendix_C:_Suggested"/>
      <w:bookmarkStart w:id="19" w:name="_Toc229519677"/>
      <w:bookmarkEnd w:id="18"/>
      <w:r w:rsidRPr="00C95A65">
        <w:rPr>
          <w:rFonts w:ascii="Gill Sans MT" w:hAnsi="Gill Sans MT" w:cs="Arial"/>
          <w:b/>
          <w:bCs/>
        </w:rPr>
        <w:lastRenderedPageBreak/>
        <w:t>Appendix C: Suggested Student-Facing Post-Assessment Information Set</w:t>
      </w:r>
      <w:bookmarkEnd w:id="19"/>
    </w:p>
    <w:p w14:paraId="71088CE8" w14:textId="77777777" w:rsidR="00CC5004" w:rsidRPr="005F4A6C" w:rsidRDefault="00CC5004" w:rsidP="00CC5004">
      <w:pPr>
        <w:tabs>
          <w:tab w:val="left" w:pos="1337"/>
        </w:tabs>
        <w:rPr>
          <w:rFonts w:ascii="Arial" w:hAnsi="Arial" w:cs="Arial"/>
          <w:sz w:val="22"/>
          <w:szCs w:val="22"/>
        </w:rPr>
      </w:pPr>
      <w:r w:rsidRPr="005F4A6C">
        <w:rPr>
          <w:rFonts w:ascii="Arial" w:hAnsi="Arial" w:cs="Arial"/>
          <w:sz w:val="22"/>
          <w:szCs w:val="22"/>
        </w:rPr>
        <w:t>This appendix outlines a suggested post-assessment information set for large summative assessments. It is intended to help students interpret their performance and help course teams communicate assessment outcomes consistently, without requiring disclosure of confidential memoranda, reusable questions, item-level psychometric data, or internal deliberations.</w:t>
      </w:r>
    </w:p>
    <w:p w14:paraId="701286A1" w14:textId="77777777" w:rsidR="00CC5004" w:rsidRPr="005F4A6C" w:rsidRDefault="00CC5004" w:rsidP="00CC5004">
      <w:pPr>
        <w:tabs>
          <w:tab w:val="left" w:pos="1337"/>
        </w:tabs>
        <w:rPr>
          <w:rFonts w:ascii="Arial" w:hAnsi="Arial" w:cs="Arial"/>
          <w:sz w:val="22"/>
          <w:szCs w:val="22"/>
        </w:rPr>
      </w:pPr>
      <w:r w:rsidRPr="005F4A6C">
        <w:rPr>
          <w:rFonts w:ascii="Arial" w:hAnsi="Arial" w:cs="Arial"/>
          <w:sz w:val="22"/>
          <w:szCs w:val="22"/>
        </w:rPr>
        <w:t>The aim is not to release information for its own sake. Each item should help students understand their own performance, help convenors review whether the assessment functioned as intended, or support a clearer pathway from marks to learning.</w:t>
      </w:r>
    </w:p>
    <w:tbl>
      <w:tblPr>
        <w:tblStyle w:val="GridTable1Light"/>
        <w:tblW w:w="0" w:type="auto"/>
        <w:tblLook w:val="04A0" w:firstRow="1" w:lastRow="0" w:firstColumn="1" w:lastColumn="0" w:noHBand="0" w:noVBand="1"/>
      </w:tblPr>
      <w:tblGrid>
        <w:gridCol w:w="2271"/>
        <w:gridCol w:w="2332"/>
        <w:gridCol w:w="3092"/>
        <w:gridCol w:w="2910"/>
        <w:gridCol w:w="3343"/>
      </w:tblGrid>
      <w:tr w:rsidR="00CC5004" w:rsidRPr="005F4A6C" w14:paraId="28EBDC40" w14:textId="77777777" w:rsidTr="00C9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11C3D37D"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Information shared</w:t>
            </w:r>
          </w:p>
        </w:tc>
        <w:tc>
          <w:tcPr>
            <w:tcW w:w="0" w:type="auto"/>
            <w:shd w:val="clear" w:color="auto" w:fill="002060"/>
            <w:hideMark/>
          </w:tcPr>
          <w:p w14:paraId="209525C6" w14:textId="77777777" w:rsidR="00CC5004" w:rsidRPr="005F4A6C" w:rsidRDefault="00CC5004" w:rsidP="00CC5004">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Recommended for large </w:t>
            </w:r>
            <w:proofErr w:type="spellStart"/>
            <w:r w:rsidRPr="005F4A6C">
              <w:rPr>
                <w:rFonts w:ascii="Arial" w:hAnsi="Arial" w:cs="Arial"/>
                <w:sz w:val="22"/>
                <w:szCs w:val="22"/>
              </w:rPr>
              <w:t>summatives</w:t>
            </w:r>
            <w:proofErr w:type="spellEnd"/>
            <w:r w:rsidRPr="005F4A6C">
              <w:rPr>
                <w:rFonts w:ascii="Arial" w:hAnsi="Arial" w:cs="Arial"/>
                <w:sz w:val="22"/>
                <w:szCs w:val="22"/>
              </w:rPr>
              <w:t>?</w:t>
            </w:r>
          </w:p>
        </w:tc>
        <w:tc>
          <w:tcPr>
            <w:tcW w:w="0" w:type="auto"/>
            <w:shd w:val="clear" w:color="auto" w:fill="002060"/>
            <w:hideMark/>
          </w:tcPr>
          <w:p w14:paraId="14D6DBB9" w14:textId="77777777" w:rsidR="00CC5004" w:rsidRPr="005F4A6C" w:rsidRDefault="00CC5004" w:rsidP="00CC5004">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What it helps students understand</w:t>
            </w:r>
          </w:p>
        </w:tc>
        <w:tc>
          <w:tcPr>
            <w:tcW w:w="0" w:type="auto"/>
            <w:shd w:val="clear" w:color="auto" w:fill="002060"/>
            <w:hideMark/>
          </w:tcPr>
          <w:p w14:paraId="11B803EE" w14:textId="77777777" w:rsidR="00CC5004" w:rsidRPr="005F4A6C" w:rsidRDefault="00CC5004" w:rsidP="00CC5004">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What it helps convenors review</w:t>
            </w:r>
          </w:p>
        </w:tc>
        <w:tc>
          <w:tcPr>
            <w:tcW w:w="0" w:type="auto"/>
            <w:shd w:val="clear" w:color="auto" w:fill="002060"/>
            <w:hideMark/>
          </w:tcPr>
          <w:p w14:paraId="5B7B6C05" w14:textId="77777777" w:rsidR="00CC5004" w:rsidRPr="005F4A6C" w:rsidRDefault="00CC5004" w:rsidP="00CC5004">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Important caveat</w:t>
            </w:r>
          </w:p>
        </w:tc>
      </w:tr>
      <w:tr w:rsidR="00CC5004" w:rsidRPr="005F4A6C" w14:paraId="7B29C385"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7B6D5452"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Final mark</w:t>
            </w:r>
          </w:p>
        </w:tc>
        <w:tc>
          <w:tcPr>
            <w:tcW w:w="0" w:type="auto"/>
            <w:hideMark/>
          </w:tcPr>
          <w:p w14:paraId="2C48BC29"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w:t>
            </w:r>
          </w:p>
        </w:tc>
        <w:tc>
          <w:tcPr>
            <w:tcW w:w="0" w:type="auto"/>
            <w:hideMark/>
          </w:tcPr>
          <w:p w14:paraId="7D6739C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The official outcome for progression, course requirements and academic performance tracking.</w:t>
            </w:r>
          </w:p>
        </w:tc>
        <w:tc>
          <w:tcPr>
            <w:tcW w:w="0" w:type="auto"/>
            <w:hideMark/>
          </w:tcPr>
          <w:p w14:paraId="7C213D31"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The overall result after weighting, moderation, standard setting or adjustment.</w:t>
            </w:r>
          </w:p>
        </w:tc>
        <w:tc>
          <w:tcPr>
            <w:tcW w:w="0" w:type="auto"/>
            <w:hideMark/>
          </w:tcPr>
          <w:p w14:paraId="22358B3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Necessary, but insufficient for learning on its own.</w:t>
            </w:r>
          </w:p>
        </w:tc>
      </w:tr>
      <w:tr w:rsidR="00CC5004" w:rsidRPr="005F4A6C" w14:paraId="3D4D5DEC"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0C3EB4AA"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Component marks</w:t>
            </w:r>
          </w:p>
        </w:tc>
        <w:tc>
          <w:tcPr>
            <w:tcW w:w="0" w:type="auto"/>
            <w:hideMark/>
          </w:tcPr>
          <w:p w14:paraId="5CA58E3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 where components are distinct and feasible</w:t>
            </w:r>
          </w:p>
        </w:tc>
        <w:tc>
          <w:tcPr>
            <w:tcW w:w="0" w:type="auto"/>
            <w:hideMark/>
          </w:tcPr>
          <w:p w14:paraId="564E81A4"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difficulty was mainly in SAQs, MCQs, written reasoning, recall, timing, clinical application or format.</w:t>
            </w:r>
          </w:p>
        </w:tc>
        <w:tc>
          <w:tcPr>
            <w:tcW w:w="0" w:type="auto"/>
            <w:hideMark/>
          </w:tcPr>
          <w:p w14:paraId="1CD0555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one component behaved unexpectedly or requires review.</w:t>
            </w:r>
          </w:p>
        </w:tc>
        <w:tc>
          <w:tcPr>
            <w:tcW w:w="0" w:type="auto"/>
            <w:hideMark/>
          </w:tcPr>
          <w:p w14:paraId="7F6769A8"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Particularly useful where components assess different skills.</w:t>
            </w:r>
          </w:p>
        </w:tc>
      </w:tr>
      <w:tr w:rsidR="00CC5004" w:rsidRPr="005F4A6C" w14:paraId="4D682B1B"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C19055E"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Weighting and final mark construction</w:t>
            </w:r>
          </w:p>
        </w:tc>
        <w:tc>
          <w:tcPr>
            <w:tcW w:w="0" w:type="auto"/>
            <w:hideMark/>
          </w:tcPr>
          <w:p w14:paraId="46EFD0C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w:t>
            </w:r>
          </w:p>
        </w:tc>
        <w:tc>
          <w:tcPr>
            <w:tcW w:w="0" w:type="auto"/>
            <w:hideMark/>
          </w:tcPr>
          <w:p w14:paraId="792A004B"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How components contributed to </w:t>
            </w:r>
            <w:proofErr w:type="gramStart"/>
            <w:r w:rsidRPr="005F4A6C">
              <w:rPr>
                <w:rFonts w:ascii="Arial" w:hAnsi="Arial" w:cs="Arial"/>
                <w:sz w:val="22"/>
                <w:szCs w:val="22"/>
              </w:rPr>
              <w:t>the final result</w:t>
            </w:r>
            <w:proofErr w:type="gramEnd"/>
            <w:r w:rsidRPr="005F4A6C">
              <w:rPr>
                <w:rFonts w:ascii="Arial" w:hAnsi="Arial" w:cs="Arial"/>
                <w:sz w:val="22"/>
                <w:szCs w:val="22"/>
              </w:rPr>
              <w:t>.</w:t>
            </w:r>
          </w:p>
        </w:tc>
        <w:tc>
          <w:tcPr>
            <w:tcW w:w="0" w:type="auto"/>
            <w:hideMark/>
          </w:tcPr>
          <w:p w14:paraId="5B5A237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the assessment structure produced the intended influence on the course mark.</w:t>
            </w:r>
          </w:p>
        </w:tc>
        <w:tc>
          <w:tcPr>
            <w:tcW w:w="0" w:type="auto"/>
            <w:hideMark/>
          </w:tcPr>
          <w:p w14:paraId="2C0EC354"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Can be explained in broad terms without exposing confidential calculations.</w:t>
            </w:r>
          </w:p>
        </w:tc>
      </w:tr>
      <w:tr w:rsidR="00CC5004" w:rsidRPr="005F4A6C" w14:paraId="49B3F5E7"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04A907D"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Mean and median</w:t>
            </w:r>
          </w:p>
        </w:tc>
        <w:tc>
          <w:tcPr>
            <w:tcW w:w="0" w:type="auto"/>
            <w:hideMark/>
          </w:tcPr>
          <w:p w14:paraId="3795D18B"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w:t>
            </w:r>
          </w:p>
        </w:tc>
        <w:tc>
          <w:tcPr>
            <w:tcW w:w="0" w:type="auto"/>
            <w:hideMark/>
          </w:tcPr>
          <w:p w14:paraId="09949BF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Where the student sits relative to the cohort centre.</w:t>
            </w:r>
          </w:p>
        </w:tc>
        <w:tc>
          <w:tcPr>
            <w:tcW w:w="0" w:type="auto"/>
            <w:hideMark/>
          </w:tcPr>
          <w:p w14:paraId="252F02E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cohort performance is broadly expected or skewed.</w:t>
            </w:r>
          </w:p>
        </w:tc>
        <w:tc>
          <w:tcPr>
            <w:tcW w:w="0" w:type="auto"/>
            <w:hideMark/>
          </w:tcPr>
          <w:p w14:paraId="178E5086"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The mean should be interpreted alongside the median and distribution.</w:t>
            </w:r>
          </w:p>
        </w:tc>
      </w:tr>
      <w:tr w:rsidR="00CC5004" w:rsidRPr="005F4A6C" w14:paraId="09F9A17A"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7ED74DD"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lastRenderedPageBreak/>
              <w:t>Spread, e.g. standard deviation or interquartile range</w:t>
            </w:r>
          </w:p>
        </w:tc>
        <w:tc>
          <w:tcPr>
            <w:tcW w:w="0" w:type="auto"/>
            <w:hideMark/>
          </w:tcPr>
          <w:p w14:paraId="0BA902E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Where appropriate</w:t>
            </w:r>
          </w:p>
        </w:tc>
        <w:tc>
          <w:tcPr>
            <w:tcW w:w="0" w:type="auto"/>
            <w:hideMark/>
          </w:tcPr>
          <w:p w14:paraId="6DE014E1"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marks were tightly clustered or widely dispersed.</w:t>
            </w:r>
          </w:p>
        </w:tc>
        <w:tc>
          <w:tcPr>
            <w:tcW w:w="0" w:type="auto"/>
            <w:hideMark/>
          </w:tcPr>
          <w:p w14:paraId="488DDCD8"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the assessment differentiated as expected or produced unusual compression or spread.</w:t>
            </w:r>
          </w:p>
        </w:tc>
        <w:tc>
          <w:tcPr>
            <w:tcW w:w="0" w:type="auto"/>
            <w:hideMark/>
          </w:tcPr>
          <w:p w14:paraId="055E33E6"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More useful in large cohorts; may need brief explanation if shared with students.</w:t>
            </w:r>
          </w:p>
        </w:tc>
      </w:tr>
      <w:tr w:rsidR="00CC5004" w:rsidRPr="005F4A6C" w14:paraId="231A08E5"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8B46B29"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Distribution bands</w:t>
            </w:r>
          </w:p>
        </w:tc>
        <w:tc>
          <w:tcPr>
            <w:tcW w:w="0" w:type="auto"/>
            <w:hideMark/>
          </w:tcPr>
          <w:p w14:paraId="4C7FD351"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w:t>
            </w:r>
          </w:p>
        </w:tc>
        <w:tc>
          <w:tcPr>
            <w:tcW w:w="0" w:type="auto"/>
            <w:hideMark/>
          </w:tcPr>
          <w:p w14:paraId="5EDAB8F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marks cluster below pass, near thresholds, in middle bands or at high performance.</w:t>
            </w:r>
          </w:p>
        </w:tc>
        <w:tc>
          <w:tcPr>
            <w:tcW w:w="0" w:type="auto"/>
            <w:hideMark/>
          </w:tcPr>
          <w:p w14:paraId="07F5F2AF"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many students clustered near progression, remediation or distinction thresholds.</w:t>
            </w:r>
          </w:p>
        </w:tc>
        <w:tc>
          <w:tcPr>
            <w:tcW w:w="0" w:type="auto"/>
            <w:hideMark/>
          </w:tcPr>
          <w:p w14:paraId="016BE417"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Bands should be broad enough to avoid identification in small cohorts.</w:t>
            </w:r>
          </w:p>
        </w:tc>
      </w:tr>
      <w:tr w:rsidR="00CC5004" w:rsidRPr="005F4A6C" w14:paraId="17185822"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8D3F80F"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Pass rate</w:t>
            </w:r>
          </w:p>
        </w:tc>
        <w:tc>
          <w:tcPr>
            <w:tcW w:w="0" w:type="auto"/>
            <w:hideMark/>
          </w:tcPr>
          <w:p w14:paraId="36E025A3"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w:t>
            </w:r>
          </w:p>
        </w:tc>
        <w:tc>
          <w:tcPr>
            <w:tcW w:w="0" w:type="auto"/>
            <w:hideMark/>
          </w:tcPr>
          <w:p w14:paraId="5010B9A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Whether difficulty appears individual or </w:t>
            </w:r>
            <w:proofErr w:type="gramStart"/>
            <w:r w:rsidRPr="005F4A6C">
              <w:rPr>
                <w:rFonts w:ascii="Arial" w:hAnsi="Arial" w:cs="Arial"/>
                <w:sz w:val="22"/>
                <w:szCs w:val="22"/>
              </w:rPr>
              <w:t>cohort-wide</w:t>
            </w:r>
            <w:proofErr w:type="gramEnd"/>
            <w:r w:rsidRPr="005F4A6C">
              <w:rPr>
                <w:rFonts w:ascii="Arial" w:hAnsi="Arial" w:cs="Arial"/>
                <w:sz w:val="22"/>
                <w:szCs w:val="22"/>
              </w:rPr>
              <w:t>.</w:t>
            </w:r>
          </w:p>
        </w:tc>
        <w:tc>
          <w:tcPr>
            <w:tcW w:w="0" w:type="auto"/>
            <w:hideMark/>
          </w:tcPr>
          <w:p w14:paraId="2CAE200B"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outcomes are broadly consistent with expectations.</w:t>
            </w:r>
          </w:p>
        </w:tc>
        <w:tc>
          <w:tcPr>
            <w:tcW w:w="0" w:type="auto"/>
            <w:hideMark/>
          </w:tcPr>
          <w:p w14:paraId="2F10159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A high or low pass rate alone does not prove assessment quality or unfairness.</w:t>
            </w:r>
          </w:p>
        </w:tc>
      </w:tr>
      <w:tr w:rsidR="00CC5004" w:rsidRPr="005F4A6C" w14:paraId="35B5295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BF9DEE1"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Component averages</w:t>
            </w:r>
          </w:p>
        </w:tc>
        <w:tc>
          <w:tcPr>
            <w:tcW w:w="0" w:type="auto"/>
            <w:hideMark/>
          </w:tcPr>
          <w:p w14:paraId="5BE81F0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Where relevant</w:t>
            </w:r>
          </w:p>
        </w:tc>
        <w:tc>
          <w:tcPr>
            <w:tcW w:w="0" w:type="auto"/>
            <w:hideMark/>
          </w:tcPr>
          <w:p w14:paraId="72FA24DB"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one component was generally more difficult for the cohort.</w:t>
            </w:r>
          </w:p>
        </w:tc>
        <w:tc>
          <w:tcPr>
            <w:tcW w:w="0" w:type="auto"/>
            <w:hideMark/>
          </w:tcPr>
          <w:p w14:paraId="0164C7F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SAQ/MCQ format or construct differences require review.</w:t>
            </w:r>
          </w:p>
        </w:tc>
        <w:tc>
          <w:tcPr>
            <w:tcW w:w="0" w:type="auto"/>
            <w:hideMark/>
          </w:tcPr>
          <w:p w14:paraId="12572F1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Differences between components are not automatically problematic because components may assess different constructs.</w:t>
            </w:r>
          </w:p>
        </w:tc>
      </w:tr>
      <w:tr w:rsidR="00CC5004" w:rsidRPr="005F4A6C" w14:paraId="03DBBBDC"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0200D51B"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Removed or adjusted questions</w:t>
            </w:r>
          </w:p>
        </w:tc>
        <w:tc>
          <w:tcPr>
            <w:tcW w:w="0" w:type="auto"/>
            <w:hideMark/>
          </w:tcPr>
          <w:p w14:paraId="74FC0F6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Outcome-level only</w:t>
            </w:r>
          </w:p>
        </w:tc>
        <w:tc>
          <w:tcPr>
            <w:tcW w:w="0" w:type="auto"/>
            <w:hideMark/>
          </w:tcPr>
          <w:p w14:paraId="04E89F4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concerns led to formal review and action.</w:t>
            </w:r>
          </w:p>
        </w:tc>
        <w:tc>
          <w:tcPr>
            <w:tcW w:w="0" w:type="auto"/>
            <w:hideMark/>
          </w:tcPr>
          <w:p w14:paraId="6B33D0CB"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item-level problems affected final scoring.</w:t>
            </w:r>
          </w:p>
        </w:tc>
        <w:tc>
          <w:tcPr>
            <w:tcW w:w="0" w:type="auto"/>
            <w:hideMark/>
          </w:tcPr>
          <w:p w14:paraId="3DDDDFB3"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No need to disclose reusable content, item-level statistics or detailed internal deliberations.</w:t>
            </w:r>
          </w:p>
        </w:tc>
      </w:tr>
      <w:tr w:rsidR="00CC5004" w:rsidRPr="005F4A6C" w14:paraId="3E7C8D82"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FC294A1"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Moderation or standard-setting statement</w:t>
            </w:r>
          </w:p>
        </w:tc>
        <w:tc>
          <w:tcPr>
            <w:tcW w:w="0" w:type="auto"/>
            <w:hideMark/>
          </w:tcPr>
          <w:p w14:paraId="06CCB6B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Where applicable</w:t>
            </w:r>
          </w:p>
        </w:tc>
        <w:tc>
          <w:tcPr>
            <w:tcW w:w="0" w:type="auto"/>
            <w:hideMark/>
          </w:tcPr>
          <w:p w14:paraId="76893B60"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final marks reflect raw scores only or a reviewed process.</w:t>
            </w:r>
          </w:p>
        </w:tc>
        <w:tc>
          <w:tcPr>
            <w:tcW w:w="0" w:type="auto"/>
            <w:hideMark/>
          </w:tcPr>
          <w:p w14:paraId="09B7CFFC"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standards and outcomes were reviewed defensibly.</w:t>
            </w:r>
          </w:p>
        </w:tc>
        <w:tc>
          <w:tcPr>
            <w:tcW w:w="0" w:type="auto"/>
            <w:hideMark/>
          </w:tcPr>
          <w:p w14:paraId="6BB29EA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Cut-score calculations, panel deliberations and internal standard-setting details can remain internal.</w:t>
            </w:r>
          </w:p>
        </w:tc>
      </w:tr>
      <w:tr w:rsidR="00CC5004" w:rsidRPr="005F4A6C" w14:paraId="38D43D4A"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B4D9A5A" w14:textId="77777777" w:rsidR="00CC5004" w:rsidRPr="005F4A6C" w:rsidRDefault="00CC5004" w:rsidP="00CC5004">
            <w:pPr>
              <w:tabs>
                <w:tab w:val="left" w:pos="1337"/>
              </w:tabs>
              <w:spacing w:after="160" w:line="278" w:lineRule="auto"/>
              <w:rPr>
                <w:rFonts w:ascii="Arial" w:hAnsi="Arial" w:cs="Arial"/>
                <w:sz w:val="22"/>
                <w:szCs w:val="22"/>
              </w:rPr>
            </w:pPr>
            <w:r w:rsidRPr="005F4A6C">
              <w:rPr>
                <w:rFonts w:ascii="Arial" w:hAnsi="Arial" w:cs="Arial"/>
                <w:sz w:val="22"/>
                <w:szCs w:val="22"/>
              </w:rPr>
              <w:t>Feedback or script-review pathway</w:t>
            </w:r>
          </w:p>
        </w:tc>
        <w:tc>
          <w:tcPr>
            <w:tcW w:w="0" w:type="auto"/>
            <w:hideMark/>
          </w:tcPr>
          <w:p w14:paraId="7B275EA3"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Yes</w:t>
            </w:r>
          </w:p>
        </w:tc>
        <w:tc>
          <w:tcPr>
            <w:tcW w:w="0" w:type="auto"/>
            <w:hideMark/>
          </w:tcPr>
          <w:p w14:paraId="30667B4B"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How to understand errors and improve.</w:t>
            </w:r>
          </w:p>
        </w:tc>
        <w:tc>
          <w:tcPr>
            <w:tcW w:w="0" w:type="auto"/>
            <w:hideMark/>
          </w:tcPr>
          <w:p w14:paraId="6694AB42"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Whether the assessment supports learning beyond mark release.</w:t>
            </w:r>
          </w:p>
        </w:tc>
        <w:tc>
          <w:tcPr>
            <w:tcW w:w="0" w:type="auto"/>
            <w:hideMark/>
          </w:tcPr>
          <w:p w14:paraId="707AF9F6" w14:textId="77777777" w:rsidR="00CC5004" w:rsidRPr="005F4A6C" w:rsidRDefault="00CC5004" w:rsidP="00CC5004">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May take the form of script viewing, group feedback, common-error summaries, </w:t>
            </w:r>
            <w:r w:rsidRPr="005F4A6C">
              <w:rPr>
                <w:rFonts w:ascii="Arial" w:hAnsi="Arial" w:cs="Arial"/>
                <w:sz w:val="22"/>
                <w:szCs w:val="22"/>
              </w:rPr>
              <w:lastRenderedPageBreak/>
              <w:t>exemplar answers or consultation.</w:t>
            </w:r>
          </w:p>
        </w:tc>
      </w:tr>
    </w:tbl>
    <w:p w14:paraId="4D46471F" w14:textId="77777777" w:rsidR="0028446B" w:rsidRPr="005F4A6C" w:rsidRDefault="0028446B" w:rsidP="00CC5004">
      <w:pPr>
        <w:tabs>
          <w:tab w:val="left" w:pos="1337"/>
        </w:tabs>
        <w:rPr>
          <w:rFonts w:ascii="Arial" w:hAnsi="Arial" w:cs="Arial"/>
          <w:sz w:val="22"/>
          <w:szCs w:val="22"/>
        </w:rPr>
      </w:pPr>
    </w:p>
    <w:p w14:paraId="41402184" w14:textId="5750AE94" w:rsidR="00CC5004" w:rsidRPr="005F4A6C" w:rsidRDefault="00CC5004" w:rsidP="00CC5004">
      <w:pPr>
        <w:tabs>
          <w:tab w:val="left" w:pos="1337"/>
        </w:tabs>
        <w:rPr>
          <w:rFonts w:ascii="Arial" w:hAnsi="Arial" w:cs="Arial"/>
          <w:sz w:val="22"/>
          <w:szCs w:val="22"/>
          <w:u w:val="single"/>
        </w:rPr>
      </w:pPr>
      <w:r w:rsidRPr="005F4A6C">
        <w:rPr>
          <w:rFonts w:ascii="Arial" w:hAnsi="Arial" w:cs="Arial"/>
          <w:sz w:val="22"/>
          <w:szCs w:val="22"/>
          <w:u w:val="single"/>
        </w:rPr>
        <w:t>Suggested minimum package for large summative assessments</w:t>
      </w:r>
    </w:p>
    <w:p w14:paraId="5452926E" w14:textId="77777777" w:rsidR="00CC5004" w:rsidRPr="005F4A6C" w:rsidRDefault="00CC5004" w:rsidP="00CC5004">
      <w:pPr>
        <w:tabs>
          <w:tab w:val="left" w:pos="1337"/>
        </w:tabs>
        <w:rPr>
          <w:rFonts w:ascii="Arial" w:hAnsi="Arial" w:cs="Arial"/>
          <w:sz w:val="22"/>
          <w:szCs w:val="22"/>
        </w:rPr>
      </w:pPr>
      <w:r w:rsidRPr="005F4A6C">
        <w:rPr>
          <w:rFonts w:ascii="Arial" w:hAnsi="Arial" w:cs="Arial"/>
          <w:sz w:val="22"/>
          <w:szCs w:val="22"/>
        </w:rPr>
        <w:t>For large summative assessments, the minimum student-facing package could include:</w:t>
      </w:r>
    </w:p>
    <w:p w14:paraId="7EC858C1"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final mark;</w:t>
      </w:r>
    </w:p>
    <w:p w14:paraId="6701D94D"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component marks where applicable;</w:t>
      </w:r>
    </w:p>
    <w:p w14:paraId="4CFA3C1C"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weighting and final mark construction;</w:t>
      </w:r>
    </w:p>
    <w:p w14:paraId="36E0CF8B"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cohort mean and median;</w:t>
      </w:r>
    </w:p>
    <w:p w14:paraId="6986EB60"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pass rate;</w:t>
      </w:r>
    </w:p>
    <w:p w14:paraId="7800A095"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distribution bands;</w:t>
      </w:r>
    </w:p>
    <w:p w14:paraId="4B1D64BF"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spread, where appropriate and interpretable;</w:t>
      </w:r>
    </w:p>
    <w:p w14:paraId="41AECD87"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component averages where relevant;</w:t>
      </w:r>
    </w:p>
    <w:p w14:paraId="6A0F7B39"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outcome-level statement on removed or adjusted questions;</w:t>
      </w:r>
    </w:p>
    <w:p w14:paraId="6EF728F9"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moderation or standard-setting statement where applicable;</w:t>
      </w:r>
    </w:p>
    <w:p w14:paraId="1AEBCE8C" w14:textId="77777777" w:rsidR="00CC5004" w:rsidRPr="005F4A6C" w:rsidRDefault="00CC5004">
      <w:pPr>
        <w:numPr>
          <w:ilvl w:val="0"/>
          <w:numId w:val="4"/>
        </w:numPr>
        <w:tabs>
          <w:tab w:val="left" w:pos="1337"/>
        </w:tabs>
        <w:rPr>
          <w:rFonts w:ascii="Arial" w:hAnsi="Arial" w:cs="Arial"/>
          <w:sz w:val="22"/>
          <w:szCs w:val="22"/>
        </w:rPr>
      </w:pPr>
      <w:r w:rsidRPr="005F4A6C">
        <w:rPr>
          <w:rFonts w:ascii="Arial" w:hAnsi="Arial" w:cs="Arial"/>
          <w:sz w:val="22"/>
          <w:szCs w:val="22"/>
        </w:rPr>
        <w:t>and a feedback or script-review pathway.</w:t>
      </w:r>
    </w:p>
    <w:p w14:paraId="635F8E86" w14:textId="77777777" w:rsidR="00CC5004" w:rsidRPr="005F4A6C" w:rsidRDefault="00CC5004" w:rsidP="00CC5004">
      <w:pPr>
        <w:tabs>
          <w:tab w:val="left" w:pos="1337"/>
        </w:tabs>
        <w:rPr>
          <w:rFonts w:ascii="Arial" w:hAnsi="Arial" w:cs="Arial"/>
          <w:sz w:val="22"/>
          <w:szCs w:val="22"/>
        </w:rPr>
      </w:pPr>
      <w:r w:rsidRPr="005F4A6C">
        <w:rPr>
          <w:rFonts w:ascii="Arial" w:hAnsi="Arial" w:cs="Arial"/>
          <w:sz w:val="22"/>
          <w:szCs w:val="22"/>
        </w:rPr>
        <w:t>This information set should be adapted according to cohort size, assessment type, course context and feasibility. Smaller clinical rotations may require a lighter version to protect confidentiality and reduce administrative burden. Large integrated courses, especially where a new assessment format has been introduced, should generally provide more detailed post-assessment communication because students and convenors both need to understand how the assessment performed.</w:t>
      </w:r>
    </w:p>
    <w:p w14:paraId="73216CEF" w14:textId="77777777" w:rsidR="00594A2B" w:rsidRPr="005F4A6C" w:rsidRDefault="00594A2B" w:rsidP="00541D2B">
      <w:pPr>
        <w:tabs>
          <w:tab w:val="left" w:pos="1337"/>
        </w:tabs>
        <w:rPr>
          <w:rFonts w:ascii="Arial" w:hAnsi="Arial" w:cs="Arial"/>
          <w:sz w:val="22"/>
          <w:szCs w:val="22"/>
        </w:rPr>
      </w:pPr>
    </w:p>
    <w:p w14:paraId="6119E39A" w14:textId="77777777" w:rsidR="0028446B" w:rsidRPr="00C95A65" w:rsidRDefault="0028446B" w:rsidP="00C12277">
      <w:pPr>
        <w:pStyle w:val="Heading2"/>
        <w:rPr>
          <w:rFonts w:ascii="Gill Sans MT" w:hAnsi="Gill Sans MT" w:cs="Arial"/>
          <w:b/>
          <w:bCs/>
        </w:rPr>
      </w:pPr>
      <w:bookmarkStart w:id="20" w:name="_Appendix_D:_Minimum"/>
      <w:bookmarkStart w:id="21" w:name="_Toc229519678"/>
      <w:bookmarkEnd w:id="20"/>
      <w:r w:rsidRPr="00C95A65">
        <w:rPr>
          <w:rFonts w:ascii="Gill Sans MT" w:hAnsi="Gill Sans MT" w:cs="Arial"/>
          <w:b/>
          <w:bCs/>
        </w:rPr>
        <w:lastRenderedPageBreak/>
        <w:t>Appendix D: Minimum Viable MBChB Assessment Workflow</w:t>
      </w:r>
      <w:bookmarkEnd w:id="21"/>
    </w:p>
    <w:p w14:paraId="393D6CCD" w14:textId="77777777" w:rsidR="0028446B" w:rsidRPr="005F4A6C" w:rsidRDefault="0028446B" w:rsidP="0028446B">
      <w:pPr>
        <w:tabs>
          <w:tab w:val="left" w:pos="1337"/>
        </w:tabs>
        <w:rPr>
          <w:rFonts w:ascii="Arial" w:hAnsi="Arial" w:cs="Arial"/>
          <w:sz w:val="22"/>
          <w:szCs w:val="22"/>
        </w:rPr>
      </w:pPr>
      <w:r w:rsidRPr="005F4A6C">
        <w:rPr>
          <w:rFonts w:ascii="Arial" w:hAnsi="Arial" w:cs="Arial"/>
          <w:sz w:val="22"/>
          <w:szCs w:val="22"/>
        </w:rPr>
        <w:t>This appendix proposes a practical workflow that courses can adapt for major summative assessments. It is not intended to make every course use the same assessment format. Rather, it offers a shared structure for planning, delivering, reviewing and communicating assessments in a way that is proportionate to cohort size, stakes, modality and available resources.</w:t>
      </w:r>
    </w:p>
    <w:tbl>
      <w:tblPr>
        <w:tblStyle w:val="GridTable1Light"/>
        <w:tblW w:w="0" w:type="auto"/>
        <w:tblLook w:val="04A0" w:firstRow="1" w:lastRow="0" w:firstColumn="1" w:lastColumn="0" w:noHBand="0" w:noVBand="1"/>
      </w:tblPr>
      <w:tblGrid>
        <w:gridCol w:w="2274"/>
        <w:gridCol w:w="3932"/>
        <w:gridCol w:w="4401"/>
        <w:gridCol w:w="3341"/>
      </w:tblGrid>
      <w:tr w:rsidR="0028446B" w:rsidRPr="005F4A6C" w14:paraId="3D91D614" w14:textId="77777777" w:rsidTr="00C9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0483D6DC"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Stage</w:t>
            </w:r>
          </w:p>
        </w:tc>
        <w:tc>
          <w:tcPr>
            <w:tcW w:w="0" w:type="auto"/>
            <w:shd w:val="clear" w:color="auto" w:fill="002060"/>
            <w:hideMark/>
          </w:tcPr>
          <w:p w14:paraId="50D655FE" w14:textId="77777777" w:rsidR="0028446B" w:rsidRPr="005F4A6C" w:rsidRDefault="0028446B" w:rsidP="002844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Course-team output</w:t>
            </w:r>
          </w:p>
        </w:tc>
        <w:tc>
          <w:tcPr>
            <w:tcW w:w="0" w:type="auto"/>
            <w:shd w:val="clear" w:color="auto" w:fill="002060"/>
            <w:hideMark/>
          </w:tcPr>
          <w:p w14:paraId="49ADC139" w14:textId="77777777" w:rsidR="0028446B" w:rsidRPr="005F4A6C" w:rsidRDefault="0028446B" w:rsidP="002844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Student-facing output</w:t>
            </w:r>
          </w:p>
        </w:tc>
        <w:tc>
          <w:tcPr>
            <w:tcW w:w="0" w:type="auto"/>
            <w:shd w:val="clear" w:color="auto" w:fill="002060"/>
            <w:hideMark/>
          </w:tcPr>
          <w:p w14:paraId="29DA7A48" w14:textId="77777777" w:rsidR="0028446B" w:rsidRPr="005F4A6C" w:rsidRDefault="0028446B" w:rsidP="002844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Review output</w:t>
            </w:r>
          </w:p>
        </w:tc>
      </w:tr>
      <w:tr w:rsidR="0028446B" w:rsidRPr="005F4A6C" w14:paraId="06505FA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ECE8067"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Before assessment: planning and readiness</w:t>
            </w:r>
          </w:p>
        </w:tc>
        <w:tc>
          <w:tcPr>
            <w:tcW w:w="0" w:type="auto"/>
            <w:hideMark/>
          </w:tcPr>
          <w:p w14:paraId="7320BFAA"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Modality rationale; blueprint or assessment plan; question review; timing estimate; platform and venue readiness check; student preparation plan.</w:t>
            </w:r>
          </w:p>
        </w:tc>
        <w:tc>
          <w:tcPr>
            <w:tcW w:w="0" w:type="auto"/>
            <w:hideMark/>
          </w:tcPr>
          <w:p w14:paraId="4A65CB34"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Clear assessment guidance covering format, weighting, timing, platform use, permitted materials, source packs or scrap paper, and what students should do if technical issues arise.</w:t>
            </w:r>
          </w:p>
        </w:tc>
        <w:tc>
          <w:tcPr>
            <w:tcW w:w="0" w:type="auto"/>
            <w:hideMark/>
          </w:tcPr>
          <w:p w14:paraId="3E3159D7"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Confirmation that the assessment format, content, timing, student preparation and delivery conditions are aligned before the sitting.</w:t>
            </w:r>
          </w:p>
        </w:tc>
      </w:tr>
      <w:tr w:rsidR="0028446B" w:rsidRPr="005F4A6C" w14:paraId="3D21A11F"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4735021"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During assessment: delivery and incident management</w:t>
            </w:r>
          </w:p>
        </w:tc>
        <w:tc>
          <w:tcPr>
            <w:tcW w:w="0" w:type="auto"/>
            <w:hideMark/>
          </w:tcPr>
          <w:p w14:paraId="66D5EB7C"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Standard invigilator instructions; technical escalation pathway; correction/clarification protocol; incident log template.</w:t>
            </w:r>
          </w:p>
        </w:tc>
        <w:tc>
          <w:tcPr>
            <w:tcW w:w="0" w:type="auto"/>
            <w:hideMark/>
          </w:tcPr>
          <w:p w14:paraId="37B7EAA9"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Consistent instructions across venues; equal communication of corrections or clarifications; visible process for reporting technical or venue problems.</w:t>
            </w:r>
          </w:p>
        </w:tc>
        <w:tc>
          <w:tcPr>
            <w:tcW w:w="0" w:type="auto"/>
            <w:hideMark/>
          </w:tcPr>
          <w:p w14:paraId="25B21D7A"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Record of any technical issues, timing changes, clarifications, venue problems or student concerns that may need post-assessment review.</w:t>
            </w:r>
          </w:p>
        </w:tc>
      </w:tr>
      <w:tr w:rsidR="0028446B" w:rsidRPr="005F4A6C" w14:paraId="0896403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E2EE6E5"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After assessment: marking, review and communication</w:t>
            </w:r>
          </w:p>
        </w:tc>
        <w:tc>
          <w:tcPr>
            <w:tcW w:w="0" w:type="auto"/>
            <w:hideMark/>
          </w:tcPr>
          <w:p w14:paraId="785CC7B7"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Marking process; moderation where relevant; standard setting where applicable; item/question analysis; review of poorly performing or disputed questions; final mark construction.</w:t>
            </w:r>
          </w:p>
        </w:tc>
        <w:tc>
          <w:tcPr>
            <w:tcW w:w="0" w:type="auto"/>
            <w:hideMark/>
          </w:tcPr>
          <w:p w14:paraId="1A66A03C"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Final mark; component marks where applicable; weighting/final mark explanation; cohort-level statistics; statement on removed/adjusted questions where relevant; moderation or standard-setting statement where applicable; feedback or script-review pathway.</w:t>
            </w:r>
          </w:p>
        </w:tc>
        <w:tc>
          <w:tcPr>
            <w:tcW w:w="0" w:type="auto"/>
            <w:hideMark/>
          </w:tcPr>
          <w:p w14:paraId="6E1DCEDF"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Confirmation that the assessment was reviewed before results were finalised and that students received enough information to interpret their performance.</w:t>
            </w:r>
          </w:p>
        </w:tc>
      </w:tr>
      <w:tr w:rsidR="0028446B" w:rsidRPr="005F4A6C" w14:paraId="52CD01E0"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072B4E7D"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Review cycle: improvement before next sitting</w:t>
            </w:r>
          </w:p>
        </w:tc>
        <w:tc>
          <w:tcPr>
            <w:tcW w:w="0" w:type="auto"/>
            <w:hideMark/>
          </w:tcPr>
          <w:p w14:paraId="236EBB39"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Short internal implementation review drawing on student feedback, staff feedback, item performance, timing, </w:t>
            </w:r>
            <w:r w:rsidRPr="005F4A6C">
              <w:rPr>
                <w:rFonts w:ascii="Arial" w:hAnsi="Arial" w:cs="Arial"/>
                <w:sz w:val="22"/>
                <w:szCs w:val="22"/>
              </w:rPr>
              <w:lastRenderedPageBreak/>
              <w:t>technical issues, venue issues and post-assessment queries.</w:t>
            </w:r>
          </w:p>
        </w:tc>
        <w:tc>
          <w:tcPr>
            <w:tcW w:w="0" w:type="auto"/>
            <w:hideMark/>
          </w:tcPr>
          <w:p w14:paraId="6A113AD1"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lastRenderedPageBreak/>
              <w:t>Brief communication where useful on changes to be made for future sittings or cohorts, especially where students raised implementation concerns.</w:t>
            </w:r>
          </w:p>
        </w:tc>
        <w:tc>
          <w:tcPr>
            <w:tcW w:w="0" w:type="auto"/>
            <w:hideMark/>
          </w:tcPr>
          <w:p w14:paraId="320A5E36"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Documented lessons for the next assessment cycle, including changes to modality, preparation, platform setup, </w:t>
            </w:r>
            <w:r w:rsidRPr="005F4A6C">
              <w:rPr>
                <w:rFonts w:ascii="Arial" w:hAnsi="Arial" w:cs="Arial"/>
                <w:sz w:val="22"/>
                <w:szCs w:val="22"/>
              </w:rPr>
              <w:lastRenderedPageBreak/>
              <w:t>timing, question design or post-assessment communication.</w:t>
            </w:r>
          </w:p>
        </w:tc>
      </w:tr>
    </w:tbl>
    <w:p w14:paraId="1DCDDA6D" w14:textId="77777777" w:rsidR="0028446B" w:rsidRPr="005F4A6C" w:rsidRDefault="0028446B" w:rsidP="0028446B">
      <w:pPr>
        <w:tabs>
          <w:tab w:val="left" w:pos="1337"/>
        </w:tabs>
        <w:rPr>
          <w:rFonts w:ascii="Arial" w:hAnsi="Arial" w:cs="Arial"/>
          <w:b/>
          <w:bCs/>
          <w:sz w:val="22"/>
          <w:szCs w:val="22"/>
        </w:rPr>
      </w:pPr>
      <w:r w:rsidRPr="005F4A6C">
        <w:rPr>
          <w:rFonts w:ascii="Arial" w:hAnsi="Arial" w:cs="Arial"/>
          <w:b/>
          <w:bCs/>
          <w:sz w:val="22"/>
          <w:szCs w:val="22"/>
        </w:rPr>
        <w:lastRenderedPageBreak/>
        <w:t>Proportional use</w:t>
      </w:r>
    </w:p>
    <w:p w14:paraId="7D413839" w14:textId="77777777" w:rsidR="0028446B" w:rsidRPr="005F4A6C" w:rsidRDefault="0028446B" w:rsidP="0028446B">
      <w:pPr>
        <w:tabs>
          <w:tab w:val="left" w:pos="1337"/>
        </w:tabs>
        <w:rPr>
          <w:rFonts w:ascii="Arial" w:hAnsi="Arial" w:cs="Arial"/>
          <w:sz w:val="22"/>
          <w:szCs w:val="22"/>
        </w:rPr>
      </w:pPr>
      <w:r w:rsidRPr="005F4A6C">
        <w:rPr>
          <w:rFonts w:ascii="Arial" w:hAnsi="Arial" w:cs="Arial"/>
          <w:sz w:val="22"/>
          <w:szCs w:val="22"/>
        </w:rPr>
        <w:t>This workflow should be applied proportionately. A smaller clinical rotation may only require a light version, while a whole-year integrated assessment, a high-stakes summative paper, or a newly digitised assessment may require more explicit planning and documentation.</w:t>
      </w:r>
    </w:p>
    <w:tbl>
      <w:tblPr>
        <w:tblStyle w:val="GridTable1Light"/>
        <w:tblW w:w="0" w:type="auto"/>
        <w:tblLook w:val="04A0" w:firstRow="1" w:lastRow="0" w:firstColumn="1" w:lastColumn="0" w:noHBand="0" w:noVBand="1"/>
      </w:tblPr>
      <w:tblGrid>
        <w:gridCol w:w="4535"/>
        <w:gridCol w:w="9413"/>
      </w:tblGrid>
      <w:tr w:rsidR="0028446B" w:rsidRPr="005F4A6C" w14:paraId="55EF5344" w14:textId="77777777" w:rsidTr="00C9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4A16DE7D"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Assessment context</w:t>
            </w:r>
          </w:p>
        </w:tc>
        <w:tc>
          <w:tcPr>
            <w:tcW w:w="0" w:type="auto"/>
            <w:shd w:val="clear" w:color="auto" w:fill="002060"/>
            <w:hideMark/>
          </w:tcPr>
          <w:p w14:paraId="6A623DF2" w14:textId="77777777" w:rsidR="0028446B" w:rsidRPr="005F4A6C" w:rsidRDefault="0028446B" w:rsidP="002844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Suggested level of workflow detail</w:t>
            </w:r>
          </w:p>
        </w:tc>
      </w:tr>
      <w:tr w:rsidR="0028446B" w:rsidRPr="005F4A6C" w14:paraId="76FBB73B"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95A3630"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Small clinical rotation with low logistical complexity</w:t>
            </w:r>
          </w:p>
        </w:tc>
        <w:tc>
          <w:tcPr>
            <w:tcW w:w="0" w:type="auto"/>
            <w:hideMark/>
          </w:tcPr>
          <w:p w14:paraId="74DDAB26"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Light version: modality rationale, basic student instructions, marking process, feedback pathway.</w:t>
            </w:r>
          </w:p>
        </w:tc>
      </w:tr>
      <w:tr w:rsidR="0028446B" w:rsidRPr="005F4A6C" w14:paraId="40C564A6"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1B137F6"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Large integrated course with more than 200 students</w:t>
            </w:r>
          </w:p>
        </w:tc>
        <w:tc>
          <w:tcPr>
            <w:tcW w:w="0" w:type="auto"/>
            <w:hideMark/>
          </w:tcPr>
          <w:p w14:paraId="76BCB700"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Full version: blueprint, modality rationale, platform/venue checks, standard instructions, incident log, item analysis, cohort-level statistics and post-assessment communication package.</w:t>
            </w:r>
          </w:p>
        </w:tc>
      </w:tr>
      <w:tr w:rsidR="0028446B" w:rsidRPr="005F4A6C" w14:paraId="59F7CA83"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FB312A3"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New assessment modality or first major digital sitting</w:t>
            </w:r>
          </w:p>
        </w:tc>
        <w:tc>
          <w:tcPr>
            <w:tcW w:w="0" w:type="auto"/>
            <w:hideMark/>
          </w:tcPr>
          <w:p w14:paraId="43DEEB5B"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Enhanced version: formative/practice exposure, platform demonstration, platform-based reviewer test, technical contingency plan, student/staff feedback loop.</w:t>
            </w:r>
          </w:p>
        </w:tc>
      </w:tr>
      <w:tr w:rsidR="0028446B" w:rsidRPr="005F4A6C" w14:paraId="4539880D"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220F63C"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Assessment with dense vignettes, images or investigations</w:t>
            </w:r>
          </w:p>
        </w:tc>
        <w:tc>
          <w:tcPr>
            <w:tcW w:w="0" w:type="auto"/>
            <w:hideMark/>
          </w:tcPr>
          <w:p w14:paraId="15930BD4"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Enhanced design review: source visibility, image legibility, source pack/scrap paper decision, timing calibration and platform-based review.</w:t>
            </w:r>
          </w:p>
        </w:tc>
      </w:tr>
      <w:tr w:rsidR="0028446B" w:rsidRPr="005F4A6C" w14:paraId="53623DDF"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B2531DD"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Assessment with major student concern or unusual performance pattern</w:t>
            </w:r>
          </w:p>
        </w:tc>
        <w:tc>
          <w:tcPr>
            <w:tcW w:w="0" w:type="auto"/>
            <w:hideMark/>
          </w:tcPr>
          <w:p w14:paraId="6CF6CEA3"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Post-hoc review: item/question analysis, moderation or standard setting where relevant, outcome-level communication on removed/adjusted questions and feedback pathway.</w:t>
            </w:r>
          </w:p>
        </w:tc>
      </w:tr>
    </w:tbl>
    <w:p w14:paraId="5B464492" w14:textId="77777777" w:rsidR="0028446B" w:rsidRPr="005F4A6C" w:rsidRDefault="0028446B" w:rsidP="0028446B">
      <w:pPr>
        <w:tabs>
          <w:tab w:val="left" w:pos="1337"/>
        </w:tabs>
        <w:rPr>
          <w:rFonts w:ascii="Arial" w:hAnsi="Arial" w:cs="Arial"/>
          <w:b/>
          <w:bCs/>
          <w:sz w:val="22"/>
          <w:szCs w:val="22"/>
        </w:rPr>
      </w:pPr>
    </w:p>
    <w:p w14:paraId="7AEC7B2F" w14:textId="74758398" w:rsidR="0028446B" w:rsidRPr="005F4A6C" w:rsidRDefault="0028446B" w:rsidP="0028446B">
      <w:pPr>
        <w:tabs>
          <w:tab w:val="left" w:pos="1337"/>
        </w:tabs>
        <w:rPr>
          <w:rFonts w:ascii="Arial" w:hAnsi="Arial" w:cs="Arial"/>
          <w:b/>
          <w:bCs/>
          <w:sz w:val="22"/>
          <w:szCs w:val="22"/>
        </w:rPr>
      </w:pPr>
      <w:r w:rsidRPr="005F4A6C">
        <w:rPr>
          <w:rFonts w:ascii="Arial" w:hAnsi="Arial" w:cs="Arial"/>
          <w:b/>
          <w:bCs/>
          <w:sz w:val="22"/>
          <w:szCs w:val="22"/>
        </w:rPr>
        <w:t>Minimum questions every course should be able to answer</w:t>
      </w:r>
    </w:p>
    <w:p w14:paraId="5D3EBED8" w14:textId="77777777" w:rsidR="0028446B" w:rsidRPr="005F4A6C" w:rsidRDefault="0028446B">
      <w:pPr>
        <w:numPr>
          <w:ilvl w:val="0"/>
          <w:numId w:val="5"/>
        </w:numPr>
        <w:tabs>
          <w:tab w:val="left" w:pos="1337"/>
        </w:tabs>
        <w:rPr>
          <w:rFonts w:ascii="Arial" w:hAnsi="Arial" w:cs="Arial"/>
          <w:sz w:val="22"/>
          <w:szCs w:val="22"/>
        </w:rPr>
      </w:pPr>
      <w:r w:rsidRPr="005F4A6C">
        <w:rPr>
          <w:rFonts w:ascii="Arial" w:hAnsi="Arial" w:cs="Arial"/>
          <w:b/>
          <w:bCs/>
          <w:sz w:val="22"/>
          <w:szCs w:val="22"/>
        </w:rPr>
        <w:t>Why this assessment modality?</w:t>
      </w:r>
      <w:r w:rsidRPr="005F4A6C">
        <w:rPr>
          <w:rFonts w:ascii="Arial" w:hAnsi="Arial" w:cs="Arial"/>
          <w:sz w:val="22"/>
          <w:szCs w:val="22"/>
        </w:rPr>
        <w:br/>
        <w:t>The format should be linked to educational purpose, cohort size, venue feasibility, marking workflow and discipline-specific needs.</w:t>
      </w:r>
    </w:p>
    <w:p w14:paraId="4B2C5F93" w14:textId="77777777" w:rsidR="0028446B" w:rsidRPr="005F4A6C" w:rsidRDefault="0028446B">
      <w:pPr>
        <w:numPr>
          <w:ilvl w:val="0"/>
          <w:numId w:val="5"/>
        </w:numPr>
        <w:tabs>
          <w:tab w:val="left" w:pos="1337"/>
        </w:tabs>
        <w:rPr>
          <w:rFonts w:ascii="Arial" w:hAnsi="Arial" w:cs="Arial"/>
          <w:sz w:val="22"/>
          <w:szCs w:val="22"/>
        </w:rPr>
      </w:pPr>
      <w:r w:rsidRPr="005F4A6C">
        <w:rPr>
          <w:rFonts w:ascii="Arial" w:hAnsi="Arial" w:cs="Arial"/>
          <w:b/>
          <w:bCs/>
          <w:sz w:val="22"/>
          <w:szCs w:val="22"/>
        </w:rPr>
        <w:t>Have students had adequate preparation?</w:t>
      </w:r>
      <w:r w:rsidRPr="005F4A6C">
        <w:rPr>
          <w:rFonts w:ascii="Arial" w:hAnsi="Arial" w:cs="Arial"/>
          <w:sz w:val="22"/>
          <w:szCs w:val="22"/>
        </w:rPr>
        <w:br/>
        <w:t xml:space="preserve">Students should know the format, timing, platform expectations and task type before the assessment becomes </w:t>
      </w:r>
      <w:proofErr w:type="gramStart"/>
      <w:r w:rsidRPr="005F4A6C">
        <w:rPr>
          <w:rFonts w:ascii="Arial" w:hAnsi="Arial" w:cs="Arial"/>
          <w:sz w:val="22"/>
          <w:szCs w:val="22"/>
        </w:rPr>
        <w:t>high-stakes</w:t>
      </w:r>
      <w:proofErr w:type="gramEnd"/>
      <w:r w:rsidRPr="005F4A6C">
        <w:rPr>
          <w:rFonts w:ascii="Arial" w:hAnsi="Arial" w:cs="Arial"/>
          <w:sz w:val="22"/>
          <w:szCs w:val="22"/>
        </w:rPr>
        <w:t>.</w:t>
      </w:r>
    </w:p>
    <w:p w14:paraId="005B74F4" w14:textId="77777777" w:rsidR="0028446B" w:rsidRPr="005F4A6C" w:rsidRDefault="0028446B">
      <w:pPr>
        <w:numPr>
          <w:ilvl w:val="0"/>
          <w:numId w:val="5"/>
        </w:numPr>
        <w:tabs>
          <w:tab w:val="left" w:pos="1337"/>
        </w:tabs>
        <w:rPr>
          <w:rFonts w:ascii="Arial" w:hAnsi="Arial" w:cs="Arial"/>
          <w:sz w:val="22"/>
          <w:szCs w:val="22"/>
        </w:rPr>
      </w:pPr>
      <w:r w:rsidRPr="005F4A6C">
        <w:rPr>
          <w:rFonts w:ascii="Arial" w:hAnsi="Arial" w:cs="Arial"/>
          <w:b/>
          <w:bCs/>
          <w:sz w:val="22"/>
          <w:szCs w:val="22"/>
        </w:rPr>
        <w:lastRenderedPageBreak/>
        <w:t xml:space="preserve">Has the assessment been reviewed in the form students will </w:t>
      </w:r>
      <w:proofErr w:type="gramStart"/>
      <w:r w:rsidRPr="005F4A6C">
        <w:rPr>
          <w:rFonts w:ascii="Arial" w:hAnsi="Arial" w:cs="Arial"/>
          <w:b/>
          <w:bCs/>
          <w:sz w:val="22"/>
          <w:szCs w:val="22"/>
        </w:rPr>
        <w:t>actually experience</w:t>
      </w:r>
      <w:proofErr w:type="gramEnd"/>
      <w:r w:rsidRPr="005F4A6C">
        <w:rPr>
          <w:rFonts w:ascii="Arial" w:hAnsi="Arial" w:cs="Arial"/>
          <w:b/>
          <w:bCs/>
          <w:sz w:val="22"/>
          <w:szCs w:val="22"/>
        </w:rPr>
        <w:t>?</w:t>
      </w:r>
      <w:r w:rsidRPr="005F4A6C">
        <w:rPr>
          <w:rFonts w:ascii="Arial" w:hAnsi="Arial" w:cs="Arial"/>
          <w:sz w:val="22"/>
          <w:szCs w:val="22"/>
        </w:rPr>
        <w:br/>
        <w:t>For digital assessments, this means checking the uploaded platform version, not only the paper, Word or PDF version.</w:t>
      </w:r>
    </w:p>
    <w:p w14:paraId="4FA2735B" w14:textId="01CCD5E1" w:rsidR="0028446B" w:rsidRPr="005F4A6C" w:rsidRDefault="0028446B">
      <w:pPr>
        <w:numPr>
          <w:ilvl w:val="0"/>
          <w:numId w:val="5"/>
        </w:numPr>
        <w:tabs>
          <w:tab w:val="left" w:pos="1337"/>
        </w:tabs>
        <w:rPr>
          <w:rFonts w:ascii="Arial" w:hAnsi="Arial" w:cs="Arial"/>
          <w:sz w:val="22"/>
          <w:szCs w:val="22"/>
        </w:rPr>
      </w:pPr>
      <w:r w:rsidRPr="005F4A6C">
        <w:rPr>
          <w:rFonts w:ascii="Arial" w:hAnsi="Arial" w:cs="Arial"/>
          <w:b/>
          <w:bCs/>
          <w:sz w:val="22"/>
          <w:szCs w:val="22"/>
        </w:rPr>
        <w:t>How will issues during the sitting be handled and documented?</w:t>
      </w:r>
      <w:r w:rsidRPr="005F4A6C">
        <w:rPr>
          <w:rFonts w:ascii="Arial" w:hAnsi="Arial" w:cs="Arial"/>
          <w:sz w:val="22"/>
          <w:szCs w:val="22"/>
        </w:rPr>
        <w:br/>
        <w:t>There should be a standard process for technical problems, corrections, clarifications, timing concerns and venue irregularities.</w:t>
      </w:r>
    </w:p>
    <w:p w14:paraId="2630452D" w14:textId="77777777" w:rsidR="0028446B" w:rsidRPr="005F4A6C" w:rsidRDefault="0028446B">
      <w:pPr>
        <w:numPr>
          <w:ilvl w:val="0"/>
          <w:numId w:val="5"/>
        </w:numPr>
        <w:tabs>
          <w:tab w:val="left" w:pos="1337"/>
        </w:tabs>
        <w:rPr>
          <w:rFonts w:ascii="Arial" w:hAnsi="Arial" w:cs="Arial"/>
          <w:sz w:val="22"/>
          <w:szCs w:val="22"/>
        </w:rPr>
      </w:pPr>
      <w:r w:rsidRPr="005F4A6C">
        <w:rPr>
          <w:rFonts w:ascii="Arial" w:hAnsi="Arial" w:cs="Arial"/>
          <w:b/>
          <w:bCs/>
          <w:sz w:val="22"/>
          <w:szCs w:val="22"/>
        </w:rPr>
        <w:t>How will results be constructed and communicated?</w:t>
      </w:r>
      <w:r w:rsidRPr="005F4A6C">
        <w:rPr>
          <w:rFonts w:ascii="Arial" w:hAnsi="Arial" w:cs="Arial"/>
          <w:sz w:val="22"/>
          <w:szCs w:val="22"/>
        </w:rPr>
        <w:br/>
        <w:t>Students should understand component marks where applicable, weighting, relevant cohort-level statistics, moderation or standard-setting where used, and the available feedback or review pathway.</w:t>
      </w:r>
    </w:p>
    <w:p w14:paraId="24DA8C6B" w14:textId="2FA254ED" w:rsidR="0028446B" w:rsidRPr="005F4A6C" w:rsidRDefault="0028446B">
      <w:pPr>
        <w:numPr>
          <w:ilvl w:val="0"/>
          <w:numId w:val="5"/>
        </w:numPr>
        <w:tabs>
          <w:tab w:val="left" w:pos="1337"/>
        </w:tabs>
        <w:rPr>
          <w:rFonts w:ascii="Arial" w:hAnsi="Arial" w:cs="Arial"/>
          <w:sz w:val="22"/>
          <w:szCs w:val="22"/>
        </w:rPr>
      </w:pPr>
      <w:r w:rsidRPr="005F4A6C">
        <w:rPr>
          <w:rFonts w:ascii="Arial" w:hAnsi="Arial" w:cs="Arial"/>
          <w:b/>
          <w:bCs/>
          <w:sz w:val="22"/>
          <w:szCs w:val="22"/>
        </w:rPr>
        <w:t>What will change next time?</w:t>
      </w:r>
      <w:r w:rsidRPr="005F4A6C">
        <w:rPr>
          <w:rFonts w:ascii="Arial" w:hAnsi="Arial" w:cs="Arial"/>
          <w:sz w:val="22"/>
          <w:szCs w:val="22"/>
        </w:rPr>
        <w:br/>
        <w:t>Assessments should generate implementation learning for the next sitting or future cohort, not only marks for the current cohort.</w:t>
      </w:r>
    </w:p>
    <w:p w14:paraId="6F4999C5" w14:textId="77777777" w:rsidR="0028446B" w:rsidRPr="005F4A6C" w:rsidRDefault="0028446B" w:rsidP="0028446B">
      <w:pPr>
        <w:tabs>
          <w:tab w:val="left" w:pos="1337"/>
        </w:tabs>
        <w:rPr>
          <w:rFonts w:ascii="Arial" w:hAnsi="Arial" w:cs="Arial"/>
          <w:b/>
          <w:bCs/>
          <w:sz w:val="22"/>
          <w:szCs w:val="22"/>
        </w:rPr>
      </w:pPr>
      <w:r w:rsidRPr="005F4A6C">
        <w:rPr>
          <w:rFonts w:ascii="Arial" w:hAnsi="Arial" w:cs="Arial"/>
          <w:b/>
          <w:bCs/>
          <w:sz w:val="22"/>
          <w:szCs w:val="22"/>
        </w:rPr>
        <w:t>Suggested minimum outputs</w:t>
      </w:r>
    </w:p>
    <w:tbl>
      <w:tblPr>
        <w:tblStyle w:val="GridTable1Light"/>
        <w:tblW w:w="0" w:type="auto"/>
        <w:tblLook w:val="04A0" w:firstRow="1" w:lastRow="0" w:firstColumn="1" w:lastColumn="0" w:noHBand="0" w:noVBand="1"/>
      </w:tblPr>
      <w:tblGrid>
        <w:gridCol w:w="2930"/>
        <w:gridCol w:w="11018"/>
      </w:tblGrid>
      <w:tr w:rsidR="0028446B" w:rsidRPr="005F4A6C" w14:paraId="7DAA9122" w14:textId="77777777" w:rsidTr="00C9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759CFD8B"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Workflow area</w:t>
            </w:r>
          </w:p>
        </w:tc>
        <w:tc>
          <w:tcPr>
            <w:tcW w:w="0" w:type="auto"/>
            <w:shd w:val="clear" w:color="auto" w:fill="002060"/>
            <w:hideMark/>
          </w:tcPr>
          <w:p w14:paraId="22B7BBC1" w14:textId="34478E56" w:rsidR="0028446B" w:rsidRPr="005F4A6C" w:rsidRDefault="0028446B" w:rsidP="0028446B">
            <w:pPr>
              <w:tabs>
                <w:tab w:val="left" w:pos="1337"/>
              </w:tabs>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Minimum output</w:t>
            </w:r>
          </w:p>
        </w:tc>
      </w:tr>
      <w:tr w:rsidR="0028446B" w:rsidRPr="005F4A6C" w14:paraId="147FA372"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38EC422"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Pre-assessment planning</w:t>
            </w:r>
          </w:p>
        </w:tc>
        <w:tc>
          <w:tcPr>
            <w:tcW w:w="0" w:type="auto"/>
            <w:hideMark/>
          </w:tcPr>
          <w:p w14:paraId="67070CB7"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Modality rationale; student preparation plan; blueprint or assessment plan; digital/venue readiness check.</w:t>
            </w:r>
          </w:p>
        </w:tc>
      </w:tr>
      <w:tr w:rsidR="0028446B" w:rsidRPr="005F4A6C" w14:paraId="468A2A3E"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7FAE1384"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Student guidance</w:t>
            </w:r>
          </w:p>
        </w:tc>
        <w:tc>
          <w:tcPr>
            <w:tcW w:w="0" w:type="auto"/>
            <w:hideMark/>
          </w:tcPr>
          <w:p w14:paraId="542FBD9E"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One-page format guide covering timing, platform use, permitted materials, source packs/scrap paper and technical support.</w:t>
            </w:r>
          </w:p>
        </w:tc>
      </w:tr>
      <w:tr w:rsidR="0028446B" w:rsidRPr="005F4A6C" w14:paraId="42FDC492"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D83702E"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Delivery management</w:t>
            </w:r>
          </w:p>
        </w:tc>
        <w:tc>
          <w:tcPr>
            <w:tcW w:w="0" w:type="auto"/>
            <w:hideMark/>
          </w:tcPr>
          <w:p w14:paraId="76735E83"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Invigilator instruction sheet; technical escalation route; correction protocol; incident log.</w:t>
            </w:r>
          </w:p>
        </w:tc>
      </w:tr>
      <w:tr w:rsidR="0028446B" w:rsidRPr="005F4A6C" w14:paraId="0BB841D9"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C6AEDFB"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Post-assessment review</w:t>
            </w:r>
          </w:p>
        </w:tc>
        <w:tc>
          <w:tcPr>
            <w:tcW w:w="0" w:type="auto"/>
            <w:hideMark/>
          </w:tcPr>
          <w:p w14:paraId="4D3880F6"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 xml:space="preserve">Item/question review; moderation or </w:t>
            </w:r>
            <w:proofErr w:type="gramStart"/>
            <w:r w:rsidRPr="005F4A6C">
              <w:rPr>
                <w:rFonts w:ascii="Arial" w:hAnsi="Arial" w:cs="Arial"/>
                <w:sz w:val="22"/>
                <w:szCs w:val="22"/>
              </w:rPr>
              <w:t>standard-setting</w:t>
            </w:r>
            <w:proofErr w:type="gramEnd"/>
            <w:r w:rsidRPr="005F4A6C">
              <w:rPr>
                <w:rFonts w:ascii="Arial" w:hAnsi="Arial" w:cs="Arial"/>
                <w:sz w:val="22"/>
                <w:szCs w:val="22"/>
              </w:rPr>
              <w:t xml:space="preserve"> note where applicable; final mark construction check.</w:t>
            </w:r>
          </w:p>
        </w:tc>
      </w:tr>
      <w:tr w:rsidR="0028446B" w:rsidRPr="005F4A6C" w14:paraId="4CEB346D"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6C2EB90"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Student-facing communication</w:t>
            </w:r>
          </w:p>
        </w:tc>
        <w:tc>
          <w:tcPr>
            <w:tcW w:w="0" w:type="auto"/>
            <w:hideMark/>
          </w:tcPr>
          <w:p w14:paraId="6ED3C2F5"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Final mark; component marks where feasible; cohort-level statistics; removed/adjusted question statement where relevant; feedback/script-review pathway.</w:t>
            </w:r>
          </w:p>
        </w:tc>
      </w:tr>
      <w:tr w:rsidR="0028446B" w:rsidRPr="005F4A6C" w14:paraId="0A43E64A" w14:textId="77777777" w:rsidTr="00C95A65">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76472A83" w14:textId="77777777" w:rsidR="0028446B" w:rsidRPr="005F4A6C" w:rsidRDefault="0028446B" w:rsidP="0028446B">
            <w:pPr>
              <w:tabs>
                <w:tab w:val="left" w:pos="1337"/>
              </w:tabs>
              <w:spacing w:after="160" w:line="278" w:lineRule="auto"/>
              <w:rPr>
                <w:rFonts w:ascii="Arial" w:hAnsi="Arial" w:cs="Arial"/>
                <w:sz w:val="22"/>
                <w:szCs w:val="22"/>
              </w:rPr>
            </w:pPr>
            <w:r w:rsidRPr="005F4A6C">
              <w:rPr>
                <w:rFonts w:ascii="Arial" w:hAnsi="Arial" w:cs="Arial"/>
                <w:sz w:val="22"/>
                <w:szCs w:val="22"/>
              </w:rPr>
              <w:t>Improvement record</w:t>
            </w:r>
          </w:p>
        </w:tc>
        <w:tc>
          <w:tcPr>
            <w:tcW w:w="0" w:type="auto"/>
            <w:hideMark/>
          </w:tcPr>
          <w:p w14:paraId="2336D987" w14:textId="77777777" w:rsidR="0028446B" w:rsidRPr="005F4A6C" w:rsidRDefault="0028446B" w:rsidP="0028446B">
            <w:pPr>
              <w:tabs>
                <w:tab w:val="left" w:pos="1337"/>
              </w:tabs>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A6C">
              <w:rPr>
                <w:rFonts w:ascii="Arial" w:hAnsi="Arial" w:cs="Arial"/>
                <w:sz w:val="22"/>
                <w:szCs w:val="22"/>
              </w:rPr>
              <w:t>Short note on what should be retained, revised or escalated before the next sitting.</w:t>
            </w:r>
          </w:p>
        </w:tc>
      </w:tr>
    </w:tbl>
    <w:p w14:paraId="69E65AFB" w14:textId="0D28BD4E" w:rsidR="0028446B" w:rsidRPr="005F4A6C" w:rsidRDefault="0028446B" w:rsidP="0028446B">
      <w:pPr>
        <w:tabs>
          <w:tab w:val="left" w:pos="1337"/>
        </w:tabs>
        <w:rPr>
          <w:rFonts w:ascii="Arial" w:hAnsi="Arial" w:cs="Arial"/>
          <w:sz w:val="22"/>
          <w:szCs w:val="22"/>
        </w:rPr>
      </w:pPr>
      <w:r w:rsidRPr="005F4A6C">
        <w:rPr>
          <w:rFonts w:ascii="Arial" w:hAnsi="Arial" w:cs="Arial"/>
          <w:b/>
          <w:bCs/>
          <w:sz w:val="22"/>
          <w:szCs w:val="22"/>
        </w:rPr>
        <w:t>Core principle:</w:t>
      </w:r>
      <w:r w:rsidRPr="005F4A6C">
        <w:rPr>
          <w:rFonts w:ascii="Arial" w:hAnsi="Arial" w:cs="Arial"/>
          <w:sz w:val="22"/>
          <w:szCs w:val="22"/>
        </w:rPr>
        <w:t xml:space="preserve"> the workflow should make assessment practice more coherent without becoming administratively excessive. The higher the stakes, the larger the cohort, the newer the modality, or the more complex the assessment format, the more explicit the workflow should be.</w:t>
      </w:r>
    </w:p>
    <w:p w14:paraId="02ED8B3C" w14:textId="466D9BEC" w:rsidR="00541D2B" w:rsidRDefault="00541D2B" w:rsidP="00BA5A30">
      <w:pPr>
        <w:tabs>
          <w:tab w:val="left" w:pos="1337"/>
        </w:tabs>
        <w:rPr>
          <w:rFonts w:ascii="Arial" w:hAnsi="Arial" w:cs="Arial"/>
          <w:sz w:val="22"/>
          <w:szCs w:val="22"/>
        </w:rPr>
      </w:pPr>
    </w:p>
    <w:p w14:paraId="6B333F4F" w14:textId="77777777" w:rsidR="0070480C" w:rsidRDefault="0070480C" w:rsidP="00BA5A30">
      <w:pPr>
        <w:tabs>
          <w:tab w:val="left" w:pos="1337"/>
        </w:tabs>
        <w:rPr>
          <w:rFonts w:ascii="Arial" w:hAnsi="Arial" w:cs="Arial"/>
          <w:sz w:val="22"/>
          <w:szCs w:val="22"/>
        </w:rPr>
      </w:pPr>
    </w:p>
    <w:p w14:paraId="401EFD65" w14:textId="5E948B56" w:rsidR="0070480C" w:rsidRPr="005F4A6C" w:rsidRDefault="0070480C" w:rsidP="00BA5A30">
      <w:pPr>
        <w:tabs>
          <w:tab w:val="left" w:pos="1337"/>
        </w:tabs>
        <w:rPr>
          <w:rFonts w:ascii="Arial" w:hAnsi="Arial" w:cs="Arial"/>
          <w:sz w:val="22"/>
          <w:szCs w:val="22"/>
        </w:rPr>
      </w:pPr>
      <w:r>
        <w:rPr>
          <w:rFonts w:ascii="Arial" w:hAnsi="Arial" w:cs="Arial"/>
          <w:b/>
          <w:bCs/>
          <w:noProof/>
          <w:sz w:val="22"/>
          <w:szCs w:val="22"/>
        </w:rPr>
        <w:lastRenderedPageBreak/>
        <w:drawing>
          <wp:anchor distT="0" distB="0" distL="114300" distR="114300" simplePos="0" relativeHeight="251659264" behindDoc="0" locked="0" layoutInCell="1" allowOverlap="1" wp14:anchorId="03B245D3" wp14:editId="2122EF8A">
            <wp:simplePos x="0" y="0"/>
            <wp:positionH relativeFrom="page">
              <wp:posOffset>-176982</wp:posOffset>
            </wp:positionH>
            <wp:positionV relativeFrom="paragraph">
              <wp:posOffset>-960613</wp:posOffset>
            </wp:positionV>
            <wp:extent cx="10913807" cy="7628125"/>
            <wp:effectExtent l="0" t="0" r="1905" b="0"/>
            <wp:wrapNone/>
            <wp:docPr id="1538576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rotWithShape="1">
                    <a:blip r:embed="rId12">
                      <a:extLst>
                        <a:ext uri="{28A0092B-C50C-407E-A947-70E740481C1C}">
                          <a14:useLocalDpi xmlns:a14="http://schemas.microsoft.com/office/drawing/2010/main" val="0"/>
                        </a:ext>
                      </a:extLst>
                    </a:blip>
                    <a:srcRect l="9102" r="9380"/>
                    <a:stretch>
                      <a:fillRect/>
                    </a:stretch>
                  </pic:blipFill>
                  <pic:spPr bwMode="auto">
                    <a:xfrm>
                      <a:off x="0" y="0"/>
                      <a:ext cx="10923615" cy="763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70480C" w:rsidRPr="005F4A6C" w:rsidSect="0070480C">
      <w:headerReference w:type="first" r:id="rId13"/>
      <w:type w:val="continuous"/>
      <w:pgSz w:w="16838" w:h="11906" w:orient="landscape"/>
      <w:pgMar w:top="1080" w:right="1440" w:bottom="108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EAA1A" w14:textId="77777777" w:rsidR="00816FCE" w:rsidRDefault="00816FCE" w:rsidP="00DC4C38">
      <w:pPr>
        <w:spacing w:after="0" w:line="240" w:lineRule="auto"/>
      </w:pPr>
      <w:r>
        <w:separator/>
      </w:r>
    </w:p>
  </w:endnote>
  <w:endnote w:type="continuationSeparator" w:id="0">
    <w:p w14:paraId="6DB35C04" w14:textId="77777777" w:rsidR="00816FCE" w:rsidRDefault="00816FCE" w:rsidP="00DC4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randon Grotesque Regular">
    <w:panose1 w:val="020B0503020203060202"/>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447379"/>
      <w:docPartObj>
        <w:docPartGallery w:val="Page Numbers (Bottom of Page)"/>
        <w:docPartUnique/>
      </w:docPartObj>
    </w:sdtPr>
    <w:sdtEndPr>
      <w:rPr>
        <w:noProof/>
      </w:rPr>
    </w:sdtEndPr>
    <w:sdtContent>
      <w:p w14:paraId="65BACB20" w14:textId="675B11EE" w:rsidR="00DF00F9" w:rsidRDefault="00C31581">
        <w:pPr>
          <w:pStyle w:val="Footer"/>
          <w:jc w:val="right"/>
        </w:pPr>
        <w:r>
          <w:rPr>
            <w:rFonts w:ascii="Brandon Grotesque Regular" w:hAnsi="Brandon Grotesque Regular" w:cs="Calibri"/>
            <w:b/>
            <w:bCs/>
            <w:i/>
            <w:iCs/>
            <w:noProof/>
          </w:rPr>
          <w:drawing>
            <wp:anchor distT="0" distB="0" distL="114300" distR="114300" simplePos="0" relativeHeight="251658241" behindDoc="0" locked="0" layoutInCell="1" allowOverlap="1" wp14:anchorId="48CB06CC" wp14:editId="04DABBEF">
              <wp:simplePos x="0" y="0"/>
              <wp:positionH relativeFrom="rightMargin">
                <wp:posOffset>-9279890</wp:posOffset>
              </wp:positionH>
              <wp:positionV relativeFrom="paragraph">
                <wp:posOffset>17145</wp:posOffset>
              </wp:positionV>
              <wp:extent cx="591820" cy="518795"/>
              <wp:effectExtent l="0" t="0" r="0" b="0"/>
              <wp:wrapNone/>
              <wp:docPr id="212735987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1">
                        <a:extLst>
                          <a:ext uri="{96DAC541-7B7A-43D3-8B79-37D633B846F1}">
                            <asvg:svgBlip xmlns:asvg="http://schemas.microsoft.com/office/drawing/2016/SVG/main" r:embed="rId2"/>
                          </a:ext>
                        </a:extLst>
                      </a:blip>
                      <a:stretch>
                        <a:fillRect/>
                      </a:stretch>
                    </pic:blipFill>
                    <pic:spPr>
                      <a:xfrm>
                        <a:off x="0" y="0"/>
                        <a:ext cx="591820" cy="518795"/>
                      </a:xfrm>
                      <a:prstGeom prst="rect">
                        <a:avLst/>
                      </a:prstGeom>
                    </pic:spPr>
                  </pic:pic>
                </a:graphicData>
              </a:graphic>
              <wp14:sizeRelH relativeFrom="margin">
                <wp14:pctWidth>0</wp14:pctWidth>
              </wp14:sizeRelH>
              <wp14:sizeRelV relativeFrom="margin">
                <wp14:pctHeight>0</wp14:pctHeight>
              </wp14:sizeRelV>
            </wp:anchor>
          </w:drawing>
        </w:r>
        <w:r>
          <w:rPr>
            <w:rFonts w:ascii="Brandon Grotesque Regular" w:hAnsi="Brandon Grotesque Regular" w:cs="Calibri"/>
            <w:b/>
            <w:bCs/>
            <w:i/>
            <w:iCs/>
            <w:noProof/>
          </w:rPr>
          <w:drawing>
            <wp:anchor distT="0" distB="0" distL="114300" distR="114300" simplePos="0" relativeHeight="251658242" behindDoc="0" locked="0" layoutInCell="1" allowOverlap="1" wp14:anchorId="6FC8DB4B" wp14:editId="6FC21CE0">
              <wp:simplePos x="0" y="0"/>
              <wp:positionH relativeFrom="rightMargin">
                <wp:posOffset>-8789035</wp:posOffset>
              </wp:positionH>
              <wp:positionV relativeFrom="paragraph">
                <wp:posOffset>13970</wp:posOffset>
              </wp:positionV>
              <wp:extent cx="592455" cy="532765"/>
              <wp:effectExtent l="0" t="0" r="0" b="635"/>
              <wp:wrapNone/>
              <wp:docPr id="144096921"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3">
                        <a:extLst>
                          <a:ext uri="{96DAC541-7B7A-43D3-8B79-37D633B846F1}">
                            <asvg:svgBlip xmlns:asvg="http://schemas.microsoft.com/office/drawing/2016/SVG/main" r:embed="rId4"/>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Pr>
            <w:rFonts w:ascii="Brandon Grotesque Regular" w:hAnsi="Brandon Grotesque Regular" w:cs="Calibri"/>
            <w:b/>
            <w:bCs/>
            <w:i/>
            <w:iCs/>
            <w:noProof/>
          </w:rPr>
          <w:drawing>
            <wp:anchor distT="0" distB="0" distL="114300" distR="114300" simplePos="0" relativeHeight="251658243" behindDoc="0" locked="0" layoutInCell="1" allowOverlap="1" wp14:anchorId="7CF60532" wp14:editId="2963ABCA">
              <wp:simplePos x="0" y="0"/>
              <wp:positionH relativeFrom="rightMargin">
                <wp:posOffset>-8289925</wp:posOffset>
              </wp:positionH>
              <wp:positionV relativeFrom="paragraph">
                <wp:posOffset>17780</wp:posOffset>
              </wp:positionV>
              <wp:extent cx="592455" cy="532765"/>
              <wp:effectExtent l="0" t="0" r="0" b="635"/>
              <wp:wrapNone/>
              <wp:docPr id="103809014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5">
                        <a:extLst>
                          <a:ext uri="{96DAC541-7B7A-43D3-8B79-37D633B846F1}">
                            <asvg:svgBlip xmlns:asvg="http://schemas.microsoft.com/office/drawing/2016/SVG/main" r:embed="rId6"/>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Pr>
            <w:rFonts w:ascii="Brandon Grotesque Regular" w:hAnsi="Brandon Grotesque Regular" w:cs="Calibri"/>
            <w:b/>
            <w:bCs/>
            <w:i/>
            <w:iCs/>
            <w:noProof/>
          </w:rPr>
          <w:drawing>
            <wp:anchor distT="0" distB="0" distL="114300" distR="114300" simplePos="0" relativeHeight="251658244" behindDoc="0" locked="0" layoutInCell="1" allowOverlap="1" wp14:anchorId="77047058" wp14:editId="54DC7AE6">
              <wp:simplePos x="0" y="0"/>
              <wp:positionH relativeFrom="rightMargin">
                <wp:posOffset>-7797165</wp:posOffset>
              </wp:positionH>
              <wp:positionV relativeFrom="paragraph">
                <wp:posOffset>15875</wp:posOffset>
              </wp:positionV>
              <wp:extent cx="592455" cy="532765"/>
              <wp:effectExtent l="0" t="0" r="0" b="635"/>
              <wp:wrapNone/>
              <wp:docPr id="497298747"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7">
                        <a:extLst>
                          <a:ext uri="{96DAC541-7B7A-43D3-8B79-37D633B846F1}">
                            <asvg:svgBlip xmlns:asvg="http://schemas.microsoft.com/office/drawing/2016/SVG/main" r:embed="rId8"/>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Pr>
            <w:rFonts w:ascii="Brandon Grotesque Regular" w:hAnsi="Brandon Grotesque Regular" w:cs="Calibri"/>
            <w:b/>
            <w:bCs/>
            <w:i/>
            <w:iCs/>
            <w:noProof/>
          </w:rPr>
          <w:drawing>
            <wp:anchor distT="0" distB="0" distL="114300" distR="114300" simplePos="0" relativeHeight="251658245" behindDoc="0" locked="0" layoutInCell="1" allowOverlap="1" wp14:anchorId="1BC99903" wp14:editId="582314A9">
              <wp:simplePos x="0" y="0"/>
              <wp:positionH relativeFrom="rightMargin">
                <wp:posOffset>-7311390</wp:posOffset>
              </wp:positionH>
              <wp:positionV relativeFrom="paragraph">
                <wp:posOffset>15240</wp:posOffset>
              </wp:positionV>
              <wp:extent cx="592455" cy="532765"/>
              <wp:effectExtent l="0" t="0" r="0" b="635"/>
              <wp:wrapNone/>
              <wp:docPr id="1021506217"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1">
                        <a:extLst>
                          <a:ext uri="{96DAC541-7B7A-43D3-8B79-37D633B846F1}">
                            <asvg:svgBlip xmlns:asvg="http://schemas.microsoft.com/office/drawing/2016/SVG/main" r:embed="rId2"/>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Pr>
            <w:rFonts w:ascii="Brandon Grotesque Regular" w:hAnsi="Brandon Grotesque Regular" w:cs="Calibri"/>
            <w:b/>
            <w:bCs/>
            <w:i/>
            <w:iCs/>
            <w:noProof/>
          </w:rPr>
          <w:drawing>
            <wp:anchor distT="0" distB="0" distL="114300" distR="114300" simplePos="0" relativeHeight="251658247" behindDoc="0" locked="0" layoutInCell="1" allowOverlap="1" wp14:anchorId="0C9582A3" wp14:editId="209D9327">
              <wp:simplePos x="0" y="0"/>
              <wp:positionH relativeFrom="rightMargin">
                <wp:posOffset>-6798945</wp:posOffset>
              </wp:positionH>
              <wp:positionV relativeFrom="paragraph">
                <wp:posOffset>15240</wp:posOffset>
              </wp:positionV>
              <wp:extent cx="592455" cy="532765"/>
              <wp:effectExtent l="0" t="0" r="0" b="635"/>
              <wp:wrapNone/>
              <wp:docPr id="70095943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3">
                        <a:extLst>
                          <a:ext uri="{96DAC541-7B7A-43D3-8B79-37D633B846F1}">
                            <asvg:svgBlip xmlns:asvg="http://schemas.microsoft.com/office/drawing/2016/SVG/main" r:embed="rId4"/>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sidRPr="00531B6E">
          <w:rPr>
            <w:rFonts w:ascii="Brandon Grotesque Regular" w:hAnsi="Brandon Grotesque Regular" w:cs="Calibri"/>
            <w:b/>
            <w:bCs/>
            <w:i/>
            <w:iCs/>
            <w:noProof/>
            <w:color w:val="002060"/>
          </w:rPr>
          <w:drawing>
            <wp:anchor distT="0" distB="0" distL="114300" distR="114300" simplePos="0" relativeHeight="251658248" behindDoc="0" locked="0" layoutInCell="1" allowOverlap="1" wp14:anchorId="3BAF9F3D" wp14:editId="288973FB">
              <wp:simplePos x="0" y="0"/>
              <wp:positionH relativeFrom="rightMargin">
                <wp:posOffset>-6308571</wp:posOffset>
              </wp:positionH>
              <wp:positionV relativeFrom="paragraph">
                <wp:posOffset>17128</wp:posOffset>
              </wp:positionV>
              <wp:extent cx="592455" cy="532765"/>
              <wp:effectExtent l="0" t="0" r="0" b="635"/>
              <wp:wrapNone/>
              <wp:docPr id="82188014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5">
                        <a:extLst>
                          <a:ext uri="{96DAC541-7B7A-43D3-8B79-37D633B846F1}">
                            <asvg:svgBlip xmlns:asvg="http://schemas.microsoft.com/office/drawing/2016/SVG/main" r:embed="rId9"/>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sidR="001D00B5">
          <w:rPr>
            <w:rFonts w:ascii="Brandon Grotesque Regular" w:hAnsi="Brandon Grotesque Regular" w:cs="Calibri"/>
            <w:b/>
            <w:bCs/>
            <w:i/>
            <w:iCs/>
            <w:noProof/>
          </w:rPr>
          <w:drawing>
            <wp:anchor distT="0" distB="0" distL="114300" distR="114300" simplePos="0" relativeHeight="251658246" behindDoc="0" locked="0" layoutInCell="1" allowOverlap="1" wp14:anchorId="3404849E" wp14:editId="013E9500">
              <wp:simplePos x="0" y="0"/>
              <wp:positionH relativeFrom="page">
                <wp:posOffset>0</wp:posOffset>
              </wp:positionH>
              <wp:positionV relativeFrom="paragraph">
                <wp:posOffset>8255</wp:posOffset>
              </wp:positionV>
              <wp:extent cx="592455" cy="532765"/>
              <wp:effectExtent l="0" t="0" r="0" b="635"/>
              <wp:wrapNone/>
              <wp:docPr id="28947735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6741" name="Graphic 1376706741"/>
                      <pic:cNvPicPr/>
                    </pic:nvPicPr>
                    <pic:blipFill>
                      <a:blip r:embed="rId7">
                        <a:extLst>
                          <a:ext uri="{96DAC541-7B7A-43D3-8B79-37D633B846F1}">
                            <asvg:svgBlip xmlns:asvg="http://schemas.microsoft.com/office/drawing/2016/SVG/main" r:embed="rId8"/>
                          </a:ext>
                        </a:extLst>
                      </a:blip>
                      <a:stretch>
                        <a:fillRect/>
                      </a:stretch>
                    </pic:blipFill>
                    <pic:spPr>
                      <a:xfrm>
                        <a:off x="0" y="0"/>
                        <a:ext cx="592455" cy="532765"/>
                      </a:xfrm>
                      <a:prstGeom prst="rect">
                        <a:avLst/>
                      </a:prstGeom>
                    </pic:spPr>
                  </pic:pic>
                </a:graphicData>
              </a:graphic>
              <wp14:sizeRelH relativeFrom="margin">
                <wp14:pctWidth>0</wp14:pctWidth>
              </wp14:sizeRelH>
              <wp14:sizeRelV relativeFrom="margin">
                <wp14:pctHeight>0</wp14:pctHeight>
              </wp14:sizeRelV>
            </wp:anchor>
          </w:drawing>
        </w:r>
        <w:r w:rsidR="00DF00F9">
          <w:fldChar w:fldCharType="begin"/>
        </w:r>
        <w:r w:rsidR="00DF00F9">
          <w:instrText xml:space="preserve"> PAGE   \* MERGEFORMAT </w:instrText>
        </w:r>
        <w:r w:rsidR="00DF00F9">
          <w:fldChar w:fldCharType="separate"/>
        </w:r>
        <w:r w:rsidR="00DF00F9">
          <w:rPr>
            <w:noProof/>
          </w:rPr>
          <w:t>2</w:t>
        </w:r>
        <w:r w:rsidR="00DF00F9">
          <w:rPr>
            <w:noProof/>
          </w:rPr>
          <w:fldChar w:fldCharType="end"/>
        </w:r>
      </w:p>
    </w:sdtContent>
  </w:sdt>
  <w:p w14:paraId="35DE70F2" w14:textId="64AE2B04" w:rsidR="00DF00F9" w:rsidRPr="00AD7617" w:rsidRDefault="00AD7617" w:rsidP="00AD7617">
    <w:pPr>
      <w:pStyle w:val="Footer"/>
      <w:jc w:val="center"/>
      <w:rPr>
        <w:i/>
        <w:iCs/>
        <w:sz w:val="20"/>
        <w:szCs w:val="20"/>
      </w:rPr>
    </w:pPr>
    <w:r w:rsidRPr="00AD7617">
      <w:rPr>
        <w:i/>
        <w:iCs/>
        <w:sz w:val="20"/>
        <w:szCs w:val="20"/>
      </w:rPr>
      <w:t>scl.exco-group@myuct.ac.za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12704" w14:textId="77777777" w:rsidR="00816FCE" w:rsidRDefault="00816FCE" w:rsidP="00DC4C38">
      <w:pPr>
        <w:spacing w:after="0" w:line="240" w:lineRule="auto"/>
      </w:pPr>
      <w:r>
        <w:separator/>
      </w:r>
    </w:p>
  </w:footnote>
  <w:footnote w:type="continuationSeparator" w:id="0">
    <w:p w14:paraId="2A1B472C" w14:textId="77777777" w:rsidR="00816FCE" w:rsidRDefault="00816FCE" w:rsidP="00DC4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C9B1" w14:textId="32C5BF81" w:rsidR="00DC4C38" w:rsidRPr="00D300A3" w:rsidRDefault="00DC4C38" w:rsidP="0058119A">
    <w:pPr>
      <w:pStyle w:val="Header"/>
      <w:tabs>
        <w:tab w:val="clear" w:pos="4513"/>
        <w:tab w:val="clear" w:pos="9026"/>
        <w:tab w:val="left" w:pos="4775"/>
      </w:tabs>
      <w:jc w:val="right"/>
      <w:rPr>
        <w:rFonts w:ascii="Arial" w:hAnsi="Arial" w:cs="Arial"/>
        <w:b/>
        <w:bCs/>
      </w:rPr>
    </w:pPr>
    <w:r w:rsidRPr="00D300A3">
      <w:rPr>
        <w:rFonts w:ascii="Arial" w:hAnsi="Arial" w:cs="Arial"/>
        <w:b/>
        <w:bCs/>
        <w:noProof/>
      </w:rPr>
      <w:drawing>
        <wp:anchor distT="0" distB="0" distL="114300" distR="114300" simplePos="0" relativeHeight="251658240" behindDoc="0" locked="0" layoutInCell="1" allowOverlap="1" wp14:anchorId="0F7E6076" wp14:editId="2D5DC385">
          <wp:simplePos x="0" y="0"/>
          <wp:positionH relativeFrom="margin">
            <wp:align>left</wp:align>
          </wp:positionH>
          <wp:positionV relativeFrom="paragraph">
            <wp:posOffset>-88265</wp:posOffset>
          </wp:positionV>
          <wp:extent cx="1421130" cy="452755"/>
          <wp:effectExtent l="0" t="0" r="7620" b="4445"/>
          <wp:wrapSquare wrapText="bothSides"/>
          <wp:docPr id="202526502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717787" name="Picture 1" descr="A close-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1130" cy="452755"/>
                  </a:xfrm>
                  <a:prstGeom prst="rect">
                    <a:avLst/>
                  </a:prstGeom>
                </pic:spPr>
              </pic:pic>
            </a:graphicData>
          </a:graphic>
          <wp14:sizeRelH relativeFrom="margin">
            <wp14:pctWidth>0</wp14:pctWidth>
          </wp14:sizeRelH>
          <wp14:sizeRelV relativeFrom="margin">
            <wp14:pctHeight>0</wp14:pctHeight>
          </wp14:sizeRelV>
        </wp:anchor>
      </w:drawing>
    </w:r>
    <w:r w:rsidR="0058119A" w:rsidRPr="00D300A3">
      <w:rPr>
        <w:rFonts w:ascii="Arial" w:hAnsi="Arial" w:cs="Arial"/>
        <w:b/>
        <w:bCs/>
      </w:rPr>
      <w:t>MEMORANDUM</w:t>
    </w:r>
    <w:r w:rsidR="00FC5D99" w:rsidRPr="00D300A3">
      <w:rPr>
        <w:rFonts w:ascii="Arial" w:hAnsi="Arial" w:cs="Arial"/>
        <w:b/>
        <w:bCs/>
      </w:rPr>
      <w:t xml:space="preserve"> ON </w:t>
    </w:r>
    <w:r w:rsidR="00737E8D" w:rsidRPr="00D300A3">
      <w:rPr>
        <w:rFonts w:ascii="Arial" w:hAnsi="Arial" w:cs="Arial"/>
        <w:b/>
        <w:bCs/>
      </w:rPr>
      <w:t>MBCHB</w:t>
    </w:r>
    <w:r w:rsidR="00FC5D99" w:rsidRPr="00D300A3">
      <w:rPr>
        <w:rFonts w:ascii="Arial" w:hAnsi="Arial" w:cs="Arial"/>
        <w:b/>
        <w:bCs/>
      </w:rPr>
      <w:t xml:space="preserve"> </w:t>
    </w:r>
    <w:r w:rsidR="0058119A" w:rsidRPr="00D300A3">
      <w:rPr>
        <w:rFonts w:ascii="Arial" w:hAnsi="Arial" w:cs="Arial"/>
        <w:b/>
        <w:bCs/>
      </w:rPr>
      <w:t>ASSESSMENT TRANSITION</w:t>
    </w:r>
  </w:p>
  <w:p w14:paraId="6E839D0F" w14:textId="2BEB21D5" w:rsidR="006656CF" w:rsidRPr="00D300A3" w:rsidRDefault="006656CF" w:rsidP="0058119A">
    <w:pPr>
      <w:pStyle w:val="Header"/>
      <w:tabs>
        <w:tab w:val="clear" w:pos="4513"/>
        <w:tab w:val="clear" w:pos="9026"/>
        <w:tab w:val="left" w:pos="4775"/>
      </w:tabs>
      <w:jc w:val="right"/>
      <w:rPr>
        <w:rFonts w:ascii="Arial" w:hAnsi="Arial" w:cs="Arial"/>
      </w:rPr>
    </w:pPr>
    <w:r w:rsidRPr="00D300A3">
      <w:rPr>
        <w:rFonts w:ascii="Arial" w:hAnsi="Arial" w:cs="Arial"/>
      </w:rPr>
      <w:t>MAY 2026</w:t>
    </w:r>
  </w:p>
  <w:p w14:paraId="7287F9AC" w14:textId="767DA106" w:rsidR="00871F81" w:rsidRPr="00D300A3" w:rsidRDefault="00D300A3" w:rsidP="0058119A">
    <w:pPr>
      <w:pStyle w:val="Header"/>
      <w:tabs>
        <w:tab w:val="clear" w:pos="4513"/>
        <w:tab w:val="clear" w:pos="9026"/>
        <w:tab w:val="left" w:pos="4775"/>
      </w:tabs>
      <w:jc w:val="right"/>
      <w:rPr>
        <w:rFonts w:ascii="Arial" w:hAnsi="Arial" w:cs="Arial"/>
      </w:rPr>
    </w:pPr>
    <w:r w:rsidRPr="00D300A3">
      <w:rPr>
        <w:rFonts w:ascii="Arial" w:hAnsi="Arial" w:cs="Arial"/>
        <w:noProof/>
      </w:rPr>
      <mc:AlternateContent>
        <mc:Choice Requires="wps">
          <w:drawing>
            <wp:anchor distT="0" distB="0" distL="114300" distR="114300" simplePos="0" relativeHeight="251658249" behindDoc="0" locked="0" layoutInCell="1" allowOverlap="1" wp14:anchorId="21C870B0" wp14:editId="2ECC4183">
              <wp:simplePos x="0" y="0"/>
              <wp:positionH relativeFrom="margin">
                <wp:align>right</wp:align>
              </wp:positionH>
              <wp:positionV relativeFrom="paragraph">
                <wp:posOffset>21900</wp:posOffset>
              </wp:positionV>
              <wp:extent cx="4064871" cy="13276"/>
              <wp:effectExtent l="0" t="0" r="12065" b="25400"/>
              <wp:wrapNone/>
              <wp:docPr id="2004696425" name="Straight Connector 1"/>
              <wp:cNvGraphicFramePr/>
              <a:graphic xmlns:a="http://schemas.openxmlformats.org/drawingml/2006/main">
                <a:graphicData uri="http://schemas.microsoft.com/office/word/2010/wordprocessingShape">
                  <wps:wsp>
                    <wps:cNvCnPr/>
                    <wps:spPr>
                      <a:xfrm flipH="1">
                        <a:off x="0" y="0"/>
                        <a:ext cx="4064871" cy="132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1FE1C0" id="Straight Connector 1" o:spid="_x0000_s1026" style="position:absolute;flip:x;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68.85pt,1.7pt" to="588.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" strokecolor="black [3200]" strokeweight=".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D92B" w14:textId="1F359B45" w:rsidR="0002408C" w:rsidRDefault="0002408C">
    <w:pPr>
      <w:pStyle w:val="Header"/>
    </w:pPr>
    <w:r>
      <w:rPr>
        <w:rFonts w:ascii="Arial" w:hAnsi="Arial" w:cs="Arial"/>
        <w:b/>
        <w:bCs/>
        <w:noProof/>
        <w:sz w:val="22"/>
        <w:szCs w:val="22"/>
      </w:rPr>
      <w:drawing>
        <wp:anchor distT="0" distB="0" distL="114300" distR="114300" simplePos="0" relativeHeight="251660297" behindDoc="0" locked="0" layoutInCell="1" allowOverlap="1" wp14:anchorId="4E76FDAF" wp14:editId="66926621">
          <wp:simplePos x="0" y="0"/>
          <wp:positionH relativeFrom="page">
            <wp:align>left</wp:align>
          </wp:positionH>
          <wp:positionV relativeFrom="paragraph">
            <wp:posOffset>-450998</wp:posOffset>
          </wp:positionV>
          <wp:extent cx="10913807" cy="7628125"/>
          <wp:effectExtent l="0" t="0" r="1905" b="0"/>
          <wp:wrapNone/>
          <wp:docPr id="480414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rotWithShape="1">
                  <a:blip r:embed="rId1">
                    <a:extLst>
                      <a:ext uri="{28A0092B-C50C-407E-A947-70E740481C1C}">
                        <a14:useLocalDpi xmlns:a14="http://schemas.microsoft.com/office/drawing/2010/main" val="0"/>
                      </a:ext>
                    </a:extLst>
                  </a:blip>
                  <a:srcRect l="9102" r="9380"/>
                  <a:stretch>
                    <a:fillRect/>
                  </a:stretch>
                </pic:blipFill>
                <pic:spPr bwMode="auto">
                  <a:xfrm>
                    <a:off x="0" y="0"/>
                    <a:ext cx="10913807" cy="762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2AAD" w14:textId="47DC6C47" w:rsidR="00482DA2" w:rsidRDefault="00482D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90C"/>
    <w:multiLevelType w:val="multilevel"/>
    <w:tmpl w:val="7966A5F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307C494A"/>
    <w:multiLevelType w:val="multilevel"/>
    <w:tmpl w:val="99D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95842"/>
    <w:multiLevelType w:val="multilevel"/>
    <w:tmpl w:val="4B9C2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3B2ED9"/>
    <w:multiLevelType w:val="multilevel"/>
    <w:tmpl w:val="F6A81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E06BC3"/>
    <w:multiLevelType w:val="multilevel"/>
    <w:tmpl w:val="ABD24D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9D1592"/>
    <w:multiLevelType w:val="multilevel"/>
    <w:tmpl w:val="746A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029726">
    <w:abstractNumId w:val="5"/>
  </w:num>
  <w:num w:numId="2" w16cid:durableId="311371256">
    <w:abstractNumId w:val="2"/>
  </w:num>
  <w:num w:numId="3" w16cid:durableId="2068407438">
    <w:abstractNumId w:val="4"/>
  </w:num>
  <w:num w:numId="4" w16cid:durableId="1361055334">
    <w:abstractNumId w:val="1"/>
  </w:num>
  <w:num w:numId="5" w16cid:durableId="653683159">
    <w:abstractNumId w:val="3"/>
  </w:num>
  <w:num w:numId="6" w16cid:durableId="78731319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58E"/>
    <w:rsid w:val="0000240A"/>
    <w:rsid w:val="000205E3"/>
    <w:rsid w:val="00021DA6"/>
    <w:rsid w:val="0002408C"/>
    <w:rsid w:val="000307C1"/>
    <w:rsid w:val="00031A71"/>
    <w:rsid w:val="00053C92"/>
    <w:rsid w:val="00062F45"/>
    <w:rsid w:val="000A6586"/>
    <w:rsid w:val="000C1E43"/>
    <w:rsid w:val="000C53D7"/>
    <w:rsid w:val="000E32D9"/>
    <w:rsid w:val="000F2449"/>
    <w:rsid w:val="000F368F"/>
    <w:rsid w:val="000F3BB1"/>
    <w:rsid w:val="000F4B74"/>
    <w:rsid w:val="00132C4B"/>
    <w:rsid w:val="00132E01"/>
    <w:rsid w:val="0013442A"/>
    <w:rsid w:val="00153E49"/>
    <w:rsid w:val="00164B57"/>
    <w:rsid w:val="00167BCE"/>
    <w:rsid w:val="001772DE"/>
    <w:rsid w:val="00177EF7"/>
    <w:rsid w:val="00180B6D"/>
    <w:rsid w:val="001836F2"/>
    <w:rsid w:val="00184AE3"/>
    <w:rsid w:val="001A02C5"/>
    <w:rsid w:val="001C4C82"/>
    <w:rsid w:val="001D00B5"/>
    <w:rsid w:val="001D1123"/>
    <w:rsid w:val="001E35C8"/>
    <w:rsid w:val="001F4AF7"/>
    <w:rsid w:val="0020526B"/>
    <w:rsid w:val="00206069"/>
    <w:rsid w:val="002104E8"/>
    <w:rsid w:val="00212135"/>
    <w:rsid w:val="0021240F"/>
    <w:rsid w:val="00214C51"/>
    <w:rsid w:val="0023344D"/>
    <w:rsid w:val="00241718"/>
    <w:rsid w:val="0024260B"/>
    <w:rsid w:val="00262725"/>
    <w:rsid w:val="002650AB"/>
    <w:rsid w:val="0028446B"/>
    <w:rsid w:val="002872F3"/>
    <w:rsid w:val="002904B0"/>
    <w:rsid w:val="002D01D3"/>
    <w:rsid w:val="002D79FF"/>
    <w:rsid w:val="002F2302"/>
    <w:rsid w:val="00320BA3"/>
    <w:rsid w:val="00326FEA"/>
    <w:rsid w:val="00330C87"/>
    <w:rsid w:val="00333A6F"/>
    <w:rsid w:val="003349DB"/>
    <w:rsid w:val="0035351A"/>
    <w:rsid w:val="003725B0"/>
    <w:rsid w:val="00375C8E"/>
    <w:rsid w:val="00376A1E"/>
    <w:rsid w:val="003823B1"/>
    <w:rsid w:val="00394B16"/>
    <w:rsid w:val="003A0D90"/>
    <w:rsid w:val="003A15B5"/>
    <w:rsid w:val="003A5FAE"/>
    <w:rsid w:val="003C24E5"/>
    <w:rsid w:val="003C3E6A"/>
    <w:rsid w:val="003E20E2"/>
    <w:rsid w:val="003F0A95"/>
    <w:rsid w:val="003F12B2"/>
    <w:rsid w:val="004050D9"/>
    <w:rsid w:val="004059AB"/>
    <w:rsid w:val="00414332"/>
    <w:rsid w:val="00420680"/>
    <w:rsid w:val="00423811"/>
    <w:rsid w:val="00426527"/>
    <w:rsid w:val="00441F6F"/>
    <w:rsid w:val="00444978"/>
    <w:rsid w:val="0046039F"/>
    <w:rsid w:val="00464A90"/>
    <w:rsid w:val="00471F91"/>
    <w:rsid w:val="00472D29"/>
    <w:rsid w:val="004816C7"/>
    <w:rsid w:val="00482B71"/>
    <w:rsid w:val="00482DA2"/>
    <w:rsid w:val="00492D73"/>
    <w:rsid w:val="004C12E9"/>
    <w:rsid w:val="004E2AFC"/>
    <w:rsid w:val="004E3049"/>
    <w:rsid w:val="004F3BEE"/>
    <w:rsid w:val="00503494"/>
    <w:rsid w:val="00510760"/>
    <w:rsid w:val="00512898"/>
    <w:rsid w:val="0051594D"/>
    <w:rsid w:val="00522DFB"/>
    <w:rsid w:val="00527C3D"/>
    <w:rsid w:val="00534166"/>
    <w:rsid w:val="00541D2B"/>
    <w:rsid w:val="00557EE9"/>
    <w:rsid w:val="00575EBF"/>
    <w:rsid w:val="0058119A"/>
    <w:rsid w:val="00583786"/>
    <w:rsid w:val="00591DEC"/>
    <w:rsid w:val="00594A2B"/>
    <w:rsid w:val="00594EFF"/>
    <w:rsid w:val="005A6199"/>
    <w:rsid w:val="005D359D"/>
    <w:rsid w:val="005D563E"/>
    <w:rsid w:val="005F4A6C"/>
    <w:rsid w:val="005F4F80"/>
    <w:rsid w:val="00605A9D"/>
    <w:rsid w:val="00615A68"/>
    <w:rsid w:val="00635F49"/>
    <w:rsid w:val="006379D3"/>
    <w:rsid w:val="006450DA"/>
    <w:rsid w:val="00651A95"/>
    <w:rsid w:val="00662CBC"/>
    <w:rsid w:val="006656CF"/>
    <w:rsid w:val="00666332"/>
    <w:rsid w:val="006834C1"/>
    <w:rsid w:val="00687DBA"/>
    <w:rsid w:val="006A417D"/>
    <w:rsid w:val="006C34BE"/>
    <w:rsid w:val="006C6B1F"/>
    <w:rsid w:val="006D2D79"/>
    <w:rsid w:val="006D3920"/>
    <w:rsid w:val="006E0874"/>
    <w:rsid w:val="006E46F1"/>
    <w:rsid w:val="006F46E8"/>
    <w:rsid w:val="006F5D69"/>
    <w:rsid w:val="0070110F"/>
    <w:rsid w:val="0070480C"/>
    <w:rsid w:val="007055B4"/>
    <w:rsid w:val="0072473A"/>
    <w:rsid w:val="00737E8D"/>
    <w:rsid w:val="00742B98"/>
    <w:rsid w:val="00750F69"/>
    <w:rsid w:val="00751AC8"/>
    <w:rsid w:val="00766A26"/>
    <w:rsid w:val="0076733A"/>
    <w:rsid w:val="007725A8"/>
    <w:rsid w:val="00783F79"/>
    <w:rsid w:val="007A0DB7"/>
    <w:rsid w:val="007B0522"/>
    <w:rsid w:val="007B1A85"/>
    <w:rsid w:val="007B2C3E"/>
    <w:rsid w:val="007C05E2"/>
    <w:rsid w:val="007F13C5"/>
    <w:rsid w:val="007F69CB"/>
    <w:rsid w:val="00814341"/>
    <w:rsid w:val="00816FCE"/>
    <w:rsid w:val="00826AB6"/>
    <w:rsid w:val="008447DF"/>
    <w:rsid w:val="008469EA"/>
    <w:rsid w:val="008628C2"/>
    <w:rsid w:val="00862A2D"/>
    <w:rsid w:val="008651FD"/>
    <w:rsid w:val="00871F81"/>
    <w:rsid w:val="0087630F"/>
    <w:rsid w:val="0087759D"/>
    <w:rsid w:val="0088653B"/>
    <w:rsid w:val="00894643"/>
    <w:rsid w:val="008A25FE"/>
    <w:rsid w:val="008A313F"/>
    <w:rsid w:val="008A6CC4"/>
    <w:rsid w:val="008B31EA"/>
    <w:rsid w:val="008C0D57"/>
    <w:rsid w:val="008D1FF8"/>
    <w:rsid w:val="008E3690"/>
    <w:rsid w:val="008E5901"/>
    <w:rsid w:val="008F700B"/>
    <w:rsid w:val="008F7FCC"/>
    <w:rsid w:val="0090181A"/>
    <w:rsid w:val="0091289A"/>
    <w:rsid w:val="0091484A"/>
    <w:rsid w:val="0093536C"/>
    <w:rsid w:val="00947943"/>
    <w:rsid w:val="00947CCC"/>
    <w:rsid w:val="009532FE"/>
    <w:rsid w:val="00962639"/>
    <w:rsid w:val="00973A97"/>
    <w:rsid w:val="009A0B42"/>
    <w:rsid w:val="009A6A19"/>
    <w:rsid w:val="009B032C"/>
    <w:rsid w:val="009B48B4"/>
    <w:rsid w:val="009D2DEC"/>
    <w:rsid w:val="009D5E2F"/>
    <w:rsid w:val="009E26B1"/>
    <w:rsid w:val="009E3072"/>
    <w:rsid w:val="009E514C"/>
    <w:rsid w:val="009F724D"/>
    <w:rsid w:val="00A24BDC"/>
    <w:rsid w:val="00A32611"/>
    <w:rsid w:val="00A3299A"/>
    <w:rsid w:val="00A3412E"/>
    <w:rsid w:val="00A54025"/>
    <w:rsid w:val="00A907D8"/>
    <w:rsid w:val="00A97A0E"/>
    <w:rsid w:val="00AB4573"/>
    <w:rsid w:val="00AC0D57"/>
    <w:rsid w:val="00AD5533"/>
    <w:rsid w:val="00AD7617"/>
    <w:rsid w:val="00AE79AD"/>
    <w:rsid w:val="00B07061"/>
    <w:rsid w:val="00B10DED"/>
    <w:rsid w:val="00B2251C"/>
    <w:rsid w:val="00B31C91"/>
    <w:rsid w:val="00B37B11"/>
    <w:rsid w:val="00B40090"/>
    <w:rsid w:val="00B43319"/>
    <w:rsid w:val="00B51A92"/>
    <w:rsid w:val="00B77315"/>
    <w:rsid w:val="00B90312"/>
    <w:rsid w:val="00B92CAA"/>
    <w:rsid w:val="00B969D6"/>
    <w:rsid w:val="00BA5A30"/>
    <w:rsid w:val="00BC7F97"/>
    <w:rsid w:val="00BD2A64"/>
    <w:rsid w:val="00C12277"/>
    <w:rsid w:val="00C157F1"/>
    <w:rsid w:val="00C24926"/>
    <w:rsid w:val="00C24A9E"/>
    <w:rsid w:val="00C31581"/>
    <w:rsid w:val="00C32E45"/>
    <w:rsid w:val="00C32FD7"/>
    <w:rsid w:val="00C4797F"/>
    <w:rsid w:val="00C548FF"/>
    <w:rsid w:val="00C63006"/>
    <w:rsid w:val="00C6633F"/>
    <w:rsid w:val="00C92B06"/>
    <w:rsid w:val="00C95A65"/>
    <w:rsid w:val="00CC5004"/>
    <w:rsid w:val="00CD3C4B"/>
    <w:rsid w:val="00CD5438"/>
    <w:rsid w:val="00CE71DD"/>
    <w:rsid w:val="00CE7301"/>
    <w:rsid w:val="00CF29C0"/>
    <w:rsid w:val="00CF735A"/>
    <w:rsid w:val="00D0144F"/>
    <w:rsid w:val="00D072BD"/>
    <w:rsid w:val="00D07978"/>
    <w:rsid w:val="00D07A6C"/>
    <w:rsid w:val="00D14AF0"/>
    <w:rsid w:val="00D17FB3"/>
    <w:rsid w:val="00D300A3"/>
    <w:rsid w:val="00D450F0"/>
    <w:rsid w:val="00D51410"/>
    <w:rsid w:val="00D531F6"/>
    <w:rsid w:val="00D54A00"/>
    <w:rsid w:val="00D60809"/>
    <w:rsid w:val="00D75CA1"/>
    <w:rsid w:val="00D81B8F"/>
    <w:rsid w:val="00D8358E"/>
    <w:rsid w:val="00D83CCB"/>
    <w:rsid w:val="00D86869"/>
    <w:rsid w:val="00D93D08"/>
    <w:rsid w:val="00DC4C38"/>
    <w:rsid w:val="00DD0346"/>
    <w:rsid w:val="00DD146E"/>
    <w:rsid w:val="00DE3E3F"/>
    <w:rsid w:val="00DF00F9"/>
    <w:rsid w:val="00DF45FE"/>
    <w:rsid w:val="00E13A26"/>
    <w:rsid w:val="00E14074"/>
    <w:rsid w:val="00E17108"/>
    <w:rsid w:val="00E3429C"/>
    <w:rsid w:val="00E36332"/>
    <w:rsid w:val="00E61124"/>
    <w:rsid w:val="00E705E0"/>
    <w:rsid w:val="00E74DBE"/>
    <w:rsid w:val="00E7652F"/>
    <w:rsid w:val="00E831C1"/>
    <w:rsid w:val="00E86E9A"/>
    <w:rsid w:val="00E96B26"/>
    <w:rsid w:val="00EA584B"/>
    <w:rsid w:val="00EA6211"/>
    <w:rsid w:val="00EB3A51"/>
    <w:rsid w:val="00ED5037"/>
    <w:rsid w:val="00EE4A55"/>
    <w:rsid w:val="00EF25AB"/>
    <w:rsid w:val="00EF378C"/>
    <w:rsid w:val="00EF3E28"/>
    <w:rsid w:val="00F027CC"/>
    <w:rsid w:val="00F03892"/>
    <w:rsid w:val="00F076B5"/>
    <w:rsid w:val="00F203E7"/>
    <w:rsid w:val="00F41C36"/>
    <w:rsid w:val="00FB0680"/>
    <w:rsid w:val="00FB2D6A"/>
    <w:rsid w:val="00FC5D99"/>
    <w:rsid w:val="00FF74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3B22B"/>
  <w15:chartTrackingRefBased/>
  <w15:docId w15:val="{3A7CCAE5-A70A-4D88-80F5-02896214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5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835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35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35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35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35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5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5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5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5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835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35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35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35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35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5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5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58E"/>
    <w:rPr>
      <w:rFonts w:eastAsiaTheme="majorEastAsia" w:cstheme="majorBidi"/>
      <w:color w:val="272727" w:themeColor="text1" w:themeTint="D8"/>
    </w:rPr>
  </w:style>
  <w:style w:type="paragraph" w:styleId="Title">
    <w:name w:val="Title"/>
    <w:basedOn w:val="Normal"/>
    <w:next w:val="Normal"/>
    <w:link w:val="TitleChar"/>
    <w:uiPriority w:val="10"/>
    <w:qFormat/>
    <w:rsid w:val="00D835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5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5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5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58E"/>
    <w:pPr>
      <w:spacing w:before="160"/>
      <w:jc w:val="center"/>
    </w:pPr>
    <w:rPr>
      <w:i/>
      <w:iCs/>
      <w:color w:val="404040" w:themeColor="text1" w:themeTint="BF"/>
    </w:rPr>
  </w:style>
  <w:style w:type="character" w:customStyle="1" w:styleId="QuoteChar">
    <w:name w:val="Quote Char"/>
    <w:basedOn w:val="DefaultParagraphFont"/>
    <w:link w:val="Quote"/>
    <w:uiPriority w:val="29"/>
    <w:rsid w:val="00D8358E"/>
    <w:rPr>
      <w:i/>
      <w:iCs/>
      <w:color w:val="404040" w:themeColor="text1" w:themeTint="BF"/>
    </w:rPr>
  </w:style>
  <w:style w:type="paragraph" w:styleId="ListParagraph">
    <w:name w:val="List Paragraph"/>
    <w:basedOn w:val="Normal"/>
    <w:uiPriority w:val="34"/>
    <w:qFormat/>
    <w:rsid w:val="00D8358E"/>
    <w:pPr>
      <w:ind w:left="720"/>
      <w:contextualSpacing/>
    </w:pPr>
  </w:style>
  <w:style w:type="character" w:styleId="IntenseEmphasis">
    <w:name w:val="Intense Emphasis"/>
    <w:basedOn w:val="DefaultParagraphFont"/>
    <w:uiPriority w:val="21"/>
    <w:qFormat/>
    <w:rsid w:val="00D8358E"/>
    <w:rPr>
      <w:i/>
      <w:iCs/>
      <w:color w:val="2F5496" w:themeColor="accent1" w:themeShade="BF"/>
    </w:rPr>
  </w:style>
  <w:style w:type="paragraph" w:styleId="IntenseQuote">
    <w:name w:val="Intense Quote"/>
    <w:basedOn w:val="Normal"/>
    <w:next w:val="Normal"/>
    <w:link w:val="IntenseQuoteChar"/>
    <w:uiPriority w:val="30"/>
    <w:qFormat/>
    <w:rsid w:val="00D835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358E"/>
    <w:rPr>
      <w:i/>
      <w:iCs/>
      <w:color w:val="2F5496" w:themeColor="accent1" w:themeShade="BF"/>
    </w:rPr>
  </w:style>
  <w:style w:type="character" w:styleId="IntenseReference">
    <w:name w:val="Intense Reference"/>
    <w:basedOn w:val="DefaultParagraphFont"/>
    <w:uiPriority w:val="32"/>
    <w:qFormat/>
    <w:rsid w:val="00D8358E"/>
    <w:rPr>
      <w:b/>
      <w:bCs/>
      <w:smallCaps/>
      <w:color w:val="2F5496" w:themeColor="accent1" w:themeShade="BF"/>
      <w:spacing w:val="5"/>
    </w:rPr>
  </w:style>
  <w:style w:type="paragraph" w:styleId="Header">
    <w:name w:val="header"/>
    <w:basedOn w:val="Normal"/>
    <w:link w:val="HeaderChar"/>
    <w:uiPriority w:val="99"/>
    <w:unhideWhenUsed/>
    <w:rsid w:val="00DC4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C38"/>
  </w:style>
  <w:style w:type="paragraph" w:styleId="Footer">
    <w:name w:val="footer"/>
    <w:basedOn w:val="Normal"/>
    <w:link w:val="FooterChar"/>
    <w:uiPriority w:val="99"/>
    <w:unhideWhenUsed/>
    <w:rsid w:val="00DC4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C38"/>
  </w:style>
  <w:style w:type="character" w:styleId="Hyperlink">
    <w:name w:val="Hyperlink"/>
    <w:basedOn w:val="DefaultParagraphFont"/>
    <w:uiPriority w:val="99"/>
    <w:unhideWhenUsed/>
    <w:rsid w:val="009D5E2F"/>
    <w:rPr>
      <w:color w:val="0563C1" w:themeColor="hyperlink"/>
      <w:u w:val="single"/>
    </w:rPr>
  </w:style>
  <w:style w:type="character" w:styleId="UnresolvedMention">
    <w:name w:val="Unresolved Mention"/>
    <w:basedOn w:val="DefaultParagraphFont"/>
    <w:uiPriority w:val="99"/>
    <w:semiHidden/>
    <w:unhideWhenUsed/>
    <w:rsid w:val="009D5E2F"/>
    <w:rPr>
      <w:color w:val="605E5C"/>
      <w:shd w:val="clear" w:color="auto" w:fill="E1DFDD"/>
    </w:rPr>
  </w:style>
  <w:style w:type="paragraph" w:styleId="NormalWeb">
    <w:name w:val="Normal (Web)"/>
    <w:basedOn w:val="Normal"/>
    <w:uiPriority w:val="99"/>
    <w:unhideWhenUsed/>
    <w:rsid w:val="003F0A95"/>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styleId="Strong">
    <w:name w:val="Strong"/>
    <w:basedOn w:val="DefaultParagraphFont"/>
    <w:uiPriority w:val="22"/>
    <w:qFormat/>
    <w:rsid w:val="003F0A95"/>
    <w:rPr>
      <w:b/>
      <w:bCs/>
    </w:rPr>
  </w:style>
  <w:style w:type="table" w:styleId="TableGrid">
    <w:name w:val="Table Grid"/>
    <w:basedOn w:val="TableNormal"/>
    <w:uiPriority w:val="39"/>
    <w:rsid w:val="00503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0349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5F4A6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5F4A6C"/>
    <w:pPr>
      <w:spacing w:after="100"/>
    </w:pPr>
  </w:style>
  <w:style w:type="paragraph" w:styleId="TOC2">
    <w:name w:val="toc 2"/>
    <w:basedOn w:val="Normal"/>
    <w:next w:val="Normal"/>
    <w:autoRedefine/>
    <w:uiPriority w:val="39"/>
    <w:unhideWhenUsed/>
    <w:rsid w:val="005F4A6C"/>
    <w:pPr>
      <w:spacing w:after="100"/>
      <w:ind w:left="240"/>
    </w:pPr>
  </w:style>
  <w:style w:type="character" w:styleId="FollowedHyperlink">
    <w:name w:val="FollowedHyperlink"/>
    <w:basedOn w:val="DefaultParagraphFont"/>
    <w:uiPriority w:val="99"/>
    <w:semiHidden/>
    <w:unhideWhenUsed/>
    <w:rsid w:val="00A540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 Id="rId9" Type="http://schemas.openxmlformats.org/officeDocument/2006/relationships/image" Target="media/image11.sv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9067D-44EA-47BF-A0CB-FFDE0864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26</Pages>
  <Words>8379</Words>
  <Characters>47762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56029</CharactersWithSpaces>
  <SharedDoc>false</SharedDoc>
  <HLinks>
    <vt:vector size="6" baseType="variant">
      <vt:variant>
        <vt:i4>7995488</vt:i4>
      </vt:variant>
      <vt:variant>
        <vt:i4>0</vt:i4>
      </vt:variant>
      <vt:variant>
        <vt:i4>0</vt:i4>
      </vt:variant>
      <vt:variant>
        <vt:i4>5</vt:i4>
      </vt:variant>
      <vt:variant>
        <vt:lpwstr>https://uct.ac.za/sites/default/files/media/documents/Policy_Assessment_2024.pdf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Sayuran Pillay</dc:creator>
  <cp:keywords/>
  <dc:description/>
  <cp:lastModifiedBy>Sayuran Pillay</cp:lastModifiedBy>
  <cp:revision>258</cp:revision>
  <cp:lastPrinted>2026-05-12T21:10:00Z</cp:lastPrinted>
  <dcterms:created xsi:type="dcterms:W3CDTF">2026-05-11T11:57:00Z</dcterms:created>
  <dcterms:modified xsi:type="dcterms:W3CDTF">2026-05-13T07:46:00Z</dcterms:modified>
</cp:coreProperties>
</file>