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92" w:rsidRDefault="00B35E92"/>
    <w:p w:rsidR="00B35E92" w:rsidRDefault="00B35E92" w:rsidP="00B35E92"/>
    <w:p w:rsidR="00B35E92" w:rsidRPr="00267175" w:rsidRDefault="00B35E92" w:rsidP="00B35E92">
      <w:pPr>
        <w:rPr>
          <w:sz w:val="24"/>
          <w:szCs w:val="24"/>
        </w:rPr>
      </w:pPr>
      <w:r w:rsidRPr="00267175">
        <w:rPr>
          <w:sz w:val="24"/>
          <w:szCs w:val="24"/>
        </w:rPr>
        <w:t>Vaccines to Prevent Mpox</w:t>
      </w:r>
      <w:r w:rsidR="00267175">
        <w:rPr>
          <w:sz w:val="24"/>
          <w:szCs w:val="24"/>
        </w:rPr>
        <w:t xml:space="preserve"> – General Characteristics </w:t>
      </w:r>
    </w:p>
    <w:tbl>
      <w:tblPr>
        <w:tblStyle w:val="TableGrid"/>
        <w:tblW w:w="13590" w:type="dxa"/>
        <w:tblInd w:w="-275" w:type="dxa"/>
        <w:tblLook w:val="04A0" w:firstRow="1" w:lastRow="0" w:firstColumn="1" w:lastColumn="0" w:noHBand="0" w:noVBand="1"/>
      </w:tblPr>
      <w:tblGrid>
        <w:gridCol w:w="1260"/>
        <w:gridCol w:w="2151"/>
        <w:gridCol w:w="1332"/>
        <w:gridCol w:w="2547"/>
        <w:gridCol w:w="1624"/>
        <w:gridCol w:w="1555"/>
        <w:gridCol w:w="3121"/>
      </w:tblGrid>
      <w:tr w:rsidR="00A237F4" w:rsidTr="00A237F4">
        <w:tc>
          <w:tcPr>
            <w:tcW w:w="1260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Product</w:t>
            </w:r>
          </w:p>
        </w:tc>
        <w:tc>
          <w:tcPr>
            <w:tcW w:w="2151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Description</w:t>
            </w:r>
          </w:p>
        </w:tc>
        <w:tc>
          <w:tcPr>
            <w:tcW w:w="1332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Dosing</w:t>
            </w:r>
          </w:p>
        </w:tc>
        <w:tc>
          <w:tcPr>
            <w:tcW w:w="2547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Administration</w:t>
            </w:r>
          </w:p>
        </w:tc>
        <w:tc>
          <w:tcPr>
            <w:tcW w:w="1624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Presentation</w:t>
            </w:r>
          </w:p>
        </w:tc>
        <w:tc>
          <w:tcPr>
            <w:tcW w:w="1555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Indicated Age Group</w:t>
            </w:r>
          </w:p>
        </w:tc>
        <w:tc>
          <w:tcPr>
            <w:tcW w:w="3121" w:type="dxa"/>
          </w:tcPr>
          <w:p w:rsidR="00A237F4" w:rsidRPr="00A237F4" w:rsidRDefault="00E240C2" w:rsidP="007E418F">
            <w:pPr>
              <w:rPr>
                <w:b/>
              </w:rPr>
            </w:pPr>
            <w:r>
              <w:rPr>
                <w:b/>
              </w:rPr>
              <w:t xml:space="preserve">Where Licensed </w:t>
            </w:r>
          </w:p>
        </w:tc>
      </w:tr>
      <w:tr w:rsidR="00A237F4" w:rsidTr="00A237F4">
        <w:tc>
          <w:tcPr>
            <w:tcW w:w="1260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MVA-BN</w:t>
            </w:r>
          </w:p>
        </w:tc>
        <w:tc>
          <w:tcPr>
            <w:tcW w:w="2151" w:type="dxa"/>
          </w:tcPr>
          <w:p w:rsidR="00A237F4" w:rsidRDefault="00A237F4" w:rsidP="00B35E92">
            <w:r>
              <w:t xml:space="preserve">Non-replicating vaccinia-based vaccine, 3rd generation </w:t>
            </w:r>
          </w:p>
        </w:tc>
        <w:tc>
          <w:tcPr>
            <w:tcW w:w="1332" w:type="dxa"/>
          </w:tcPr>
          <w:p w:rsidR="00A237F4" w:rsidRDefault="00A237F4" w:rsidP="00B35E92">
            <w:r>
              <w:t>Two doses four weeks apart</w:t>
            </w:r>
          </w:p>
        </w:tc>
        <w:tc>
          <w:tcPr>
            <w:tcW w:w="2547" w:type="dxa"/>
          </w:tcPr>
          <w:p w:rsidR="00A237F4" w:rsidRDefault="00A237F4" w:rsidP="00B35E92">
            <w:r>
              <w:t xml:space="preserve">Needle and syringe (subcutaneous or intradermal administration) </w:t>
            </w:r>
          </w:p>
        </w:tc>
        <w:tc>
          <w:tcPr>
            <w:tcW w:w="1624" w:type="dxa"/>
          </w:tcPr>
          <w:p w:rsidR="00A237F4" w:rsidRDefault="00A237F4" w:rsidP="00B35E92">
            <w:r>
              <w:t>Liquid frozen or freeze-dried</w:t>
            </w:r>
          </w:p>
          <w:p w:rsidR="00A237F4" w:rsidRDefault="00A237F4" w:rsidP="00B35E92">
            <w:r w:rsidRPr="00B35E92">
              <w:rPr>
                <w:color w:val="FF0000"/>
              </w:rPr>
              <w:t>? Single dose vial</w:t>
            </w:r>
          </w:p>
        </w:tc>
        <w:tc>
          <w:tcPr>
            <w:tcW w:w="1555" w:type="dxa"/>
          </w:tcPr>
          <w:p w:rsidR="00A237F4" w:rsidRPr="00E240C2" w:rsidRDefault="00A237F4" w:rsidP="00E240C2">
            <w:pPr>
              <w:rPr>
                <w:vertAlign w:val="superscript"/>
              </w:rPr>
            </w:pPr>
            <w:r>
              <w:t>18+ yrs; &lt; 18 yrs EUA (US)</w:t>
            </w:r>
            <w:r w:rsidR="00E240C2">
              <w:rPr>
                <w:vertAlign w:val="superscript"/>
              </w:rPr>
              <w:t>1</w:t>
            </w:r>
          </w:p>
        </w:tc>
        <w:tc>
          <w:tcPr>
            <w:tcW w:w="3121" w:type="dxa"/>
          </w:tcPr>
          <w:p w:rsidR="00A237F4" w:rsidRDefault="00E240C2" w:rsidP="007E418F">
            <w:r>
              <w:t>Canada, EU, USA, UK, Switzerland</w:t>
            </w:r>
          </w:p>
        </w:tc>
      </w:tr>
      <w:tr w:rsidR="00A237F4" w:rsidTr="00A237F4">
        <w:tc>
          <w:tcPr>
            <w:tcW w:w="1260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LC-16</w:t>
            </w:r>
          </w:p>
        </w:tc>
        <w:tc>
          <w:tcPr>
            <w:tcW w:w="2151" w:type="dxa"/>
          </w:tcPr>
          <w:p w:rsidR="00A237F4" w:rsidRDefault="00A237F4" w:rsidP="00B35E92">
            <w:r>
              <w:t xml:space="preserve">Minimally replicating vaccinia-based vaccine, 3rd generation </w:t>
            </w:r>
          </w:p>
        </w:tc>
        <w:tc>
          <w:tcPr>
            <w:tcW w:w="1332" w:type="dxa"/>
          </w:tcPr>
          <w:p w:rsidR="00A237F4" w:rsidRDefault="00A237F4" w:rsidP="00B35E92">
            <w:r>
              <w:t xml:space="preserve">Single dose </w:t>
            </w:r>
          </w:p>
        </w:tc>
        <w:tc>
          <w:tcPr>
            <w:tcW w:w="2547" w:type="dxa"/>
          </w:tcPr>
          <w:p w:rsidR="00A237F4" w:rsidRDefault="00A237F4" w:rsidP="00B35E92">
            <w:r>
              <w:t xml:space="preserve">Bifurcated needle, percutaneous route/administration </w:t>
            </w:r>
          </w:p>
        </w:tc>
        <w:tc>
          <w:tcPr>
            <w:tcW w:w="1624" w:type="dxa"/>
          </w:tcPr>
          <w:p w:rsidR="00A237F4" w:rsidRDefault="00A237F4" w:rsidP="00B35E92">
            <w:r>
              <w:t>Freeze-dried Multidose vials</w:t>
            </w:r>
          </w:p>
        </w:tc>
        <w:tc>
          <w:tcPr>
            <w:tcW w:w="1555" w:type="dxa"/>
          </w:tcPr>
          <w:p w:rsidR="00A237F4" w:rsidRDefault="00A237F4" w:rsidP="00B35E92">
            <w:r>
              <w:t>No limitations</w:t>
            </w:r>
          </w:p>
        </w:tc>
        <w:tc>
          <w:tcPr>
            <w:tcW w:w="3121" w:type="dxa"/>
          </w:tcPr>
          <w:p w:rsidR="00A237F4" w:rsidRDefault="00E240C2" w:rsidP="007E418F">
            <w:r>
              <w:t>Japan</w:t>
            </w:r>
          </w:p>
        </w:tc>
      </w:tr>
      <w:tr w:rsidR="00A237F4" w:rsidTr="00A237F4">
        <w:tc>
          <w:tcPr>
            <w:tcW w:w="1260" w:type="dxa"/>
          </w:tcPr>
          <w:p w:rsidR="00A237F4" w:rsidRPr="00A237F4" w:rsidRDefault="00A237F4" w:rsidP="00B35E92">
            <w:pPr>
              <w:rPr>
                <w:b/>
              </w:rPr>
            </w:pPr>
            <w:r w:rsidRPr="00A237F4">
              <w:rPr>
                <w:b/>
              </w:rPr>
              <w:t>ACAM2000</w:t>
            </w:r>
          </w:p>
        </w:tc>
        <w:tc>
          <w:tcPr>
            <w:tcW w:w="2151" w:type="dxa"/>
          </w:tcPr>
          <w:p w:rsidR="00A237F4" w:rsidRDefault="00A237F4" w:rsidP="00B35E92">
            <w:r>
              <w:t xml:space="preserve">Replicating vaccinia-based vaccine, 2nd generation </w:t>
            </w:r>
          </w:p>
        </w:tc>
        <w:tc>
          <w:tcPr>
            <w:tcW w:w="1332" w:type="dxa"/>
          </w:tcPr>
          <w:p w:rsidR="00A237F4" w:rsidRDefault="00A237F4" w:rsidP="00B35E92">
            <w:r>
              <w:t xml:space="preserve">Single dose </w:t>
            </w:r>
          </w:p>
        </w:tc>
        <w:tc>
          <w:tcPr>
            <w:tcW w:w="2547" w:type="dxa"/>
          </w:tcPr>
          <w:p w:rsidR="00A237F4" w:rsidRDefault="00A237F4" w:rsidP="00B35E92">
            <w:r>
              <w:t xml:space="preserve">Bifurcated needle, percutaneous route/administration </w:t>
            </w:r>
          </w:p>
        </w:tc>
        <w:tc>
          <w:tcPr>
            <w:tcW w:w="1624" w:type="dxa"/>
          </w:tcPr>
          <w:p w:rsidR="00A237F4" w:rsidRDefault="00A237F4" w:rsidP="00B35E92">
            <w:r>
              <w:t>Freeze-dried Multidose vial</w:t>
            </w:r>
          </w:p>
        </w:tc>
        <w:tc>
          <w:tcPr>
            <w:tcW w:w="1555" w:type="dxa"/>
          </w:tcPr>
          <w:p w:rsidR="00A237F4" w:rsidRDefault="00A237F4" w:rsidP="00B35E92">
            <w:r>
              <w:t>16 + yrs</w:t>
            </w:r>
          </w:p>
        </w:tc>
        <w:tc>
          <w:tcPr>
            <w:tcW w:w="3121" w:type="dxa"/>
          </w:tcPr>
          <w:p w:rsidR="00A237F4" w:rsidRDefault="00E240C2" w:rsidP="007E418F">
            <w:r>
              <w:t>USA (Emergency investigational new drug), Australia, Singapore</w:t>
            </w:r>
          </w:p>
        </w:tc>
      </w:tr>
    </w:tbl>
    <w:p w:rsidR="00501615" w:rsidRPr="00501615" w:rsidRDefault="00E240C2" w:rsidP="0050161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501615">
        <w:rPr>
          <w:sz w:val="20"/>
          <w:szCs w:val="20"/>
        </w:rPr>
        <w:t xml:space="preserve">EUA - Emergency Use Authorization (United States) </w:t>
      </w:r>
    </w:p>
    <w:p w:rsidR="00267175" w:rsidRPr="00501615" w:rsidRDefault="00501615" w:rsidP="00501615">
      <w:pPr>
        <w:rPr>
          <w:sz w:val="20"/>
          <w:szCs w:val="20"/>
        </w:rPr>
      </w:pPr>
      <w:r>
        <w:rPr>
          <w:sz w:val="20"/>
          <w:szCs w:val="20"/>
        </w:rPr>
        <w:t>Source:  WHO Position Paper – Smallpox and Mpox (Orthopoxviruses)</w:t>
      </w:r>
      <w:r>
        <w:rPr>
          <w:sz w:val="20"/>
          <w:szCs w:val="20"/>
        </w:rPr>
        <w:t>(August 2024)</w:t>
      </w:r>
      <w:r>
        <w:rPr>
          <w:sz w:val="20"/>
          <w:szCs w:val="20"/>
        </w:rPr>
        <w:t xml:space="preserve">  </w:t>
      </w:r>
      <w:hyperlink r:id="rId7" w:history="1">
        <w:r>
          <w:rPr>
            <w:rStyle w:val="Hyperlink"/>
          </w:rPr>
          <w:t>Immunization, Vacci</w:t>
        </w:r>
        <w:r>
          <w:rPr>
            <w:rStyle w:val="Hyperlink"/>
          </w:rPr>
          <w:t>n</w:t>
        </w:r>
        <w:r>
          <w:rPr>
            <w:rStyle w:val="Hyperlink"/>
          </w:rPr>
          <w:t>es and Biologicals (who.int)</w:t>
        </w:r>
      </w:hyperlink>
      <w:r w:rsidRPr="00501615">
        <w:rPr>
          <w:sz w:val="20"/>
          <w:szCs w:val="20"/>
        </w:rPr>
        <w:t xml:space="preserve"> </w:t>
      </w:r>
      <w:r w:rsidR="00267175" w:rsidRPr="00501615">
        <w:rPr>
          <w:sz w:val="20"/>
          <w:szCs w:val="20"/>
        </w:rPr>
        <w:br w:type="page"/>
      </w:r>
    </w:p>
    <w:p w:rsidR="002B3E08" w:rsidRPr="00267175" w:rsidRDefault="00267175">
      <w:pPr>
        <w:rPr>
          <w:sz w:val="24"/>
          <w:szCs w:val="24"/>
        </w:rPr>
      </w:pPr>
      <w:r w:rsidRPr="00267175">
        <w:rPr>
          <w:sz w:val="24"/>
          <w:szCs w:val="24"/>
        </w:rPr>
        <w:lastRenderedPageBreak/>
        <w:t xml:space="preserve">Vaccines to </w:t>
      </w:r>
      <w:r w:rsidR="00447BC8">
        <w:rPr>
          <w:sz w:val="24"/>
          <w:szCs w:val="24"/>
        </w:rPr>
        <w:t>P</w:t>
      </w:r>
      <w:r w:rsidRPr="00267175">
        <w:rPr>
          <w:sz w:val="24"/>
          <w:szCs w:val="24"/>
        </w:rPr>
        <w:t xml:space="preserve">revent Mpox – Safety and Efficacy </w:t>
      </w:r>
    </w:p>
    <w:tbl>
      <w:tblPr>
        <w:tblStyle w:val="TableGrid"/>
        <w:tblpPr w:leftFromText="180" w:rightFromText="180" w:vertAnchor="text" w:horzAnchor="margin" w:tblpXSpec="center" w:tblpY="81"/>
        <w:tblW w:w="14485" w:type="dxa"/>
        <w:tblLook w:val="04A0" w:firstRow="1" w:lastRow="0" w:firstColumn="1" w:lastColumn="0" w:noHBand="0" w:noVBand="1"/>
      </w:tblPr>
      <w:tblGrid>
        <w:gridCol w:w="1277"/>
        <w:gridCol w:w="1581"/>
        <w:gridCol w:w="1166"/>
        <w:gridCol w:w="2442"/>
        <w:gridCol w:w="2799"/>
        <w:gridCol w:w="2160"/>
        <w:gridCol w:w="1240"/>
        <w:gridCol w:w="1820"/>
      </w:tblGrid>
      <w:tr w:rsidR="003F3563" w:rsidTr="003F3563">
        <w:tc>
          <w:tcPr>
            <w:tcW w:w="1277" w:type="dxa"/>
          </w:tcPr>
          <w:p w:rsidR="00E93A6E" w:rsidRPr="00A237F4" w:rsidRDefault="00267175" w:rsidP="00E93A6E">
            <w:pPr>
              <w:rPr>
                <w:b/>
              </w:rPr>
            </w:pPr>
            <w:r>
              <w:rPr>
                <w:b/>
              </w:rPr>
              <w:t>Product</w:t>
            </w:r>
          </w:p>
        </w:tc>
        <w:tc>
          <w:tcPr>
            <w:tcW w:w="1581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Description</w:t>
            </w:r>
          </w:p>
        </w:tc>
        <w:tc>
          <w:tcPr>
            <w:tcW w:w="1166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Adverse reactions</w:t>
            </w:r>
          </w:p>
        </w:tc>
        <w:tc>
          <w:tcPr>
            <w:tcW w:w="2442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Serious Adverse Reactions</w:t>
            </w:r>
          </w:p>
        </w:tc>
        <w:tc>
          <w:tcPr>
            <w:tcW w:w="2799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 xml:space="preserve">Efficacy </w:t>
            </w:r>
          </w:p>
        </w:tc>
        <w:tc>
          <w:tcPr>
            <w:tcW w:w="2160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Immunogenicity</w:t>
            </w:r>
          </w:p>
        </w:tc>
        <w:tc>
          <w:tcPr>
            <w:tcW w:w="1240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Duration</w:t>
            </w:r>
          </w:p>
        </w:tc>
        <w:tc>
          <w:tcPr>
            <w:tcW w:w="1820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Source:</w:t>
            </w:r>
          </w:p>
        </w:tc>
      </w:tr>
      <w:tr w:rsidR="003F3563" w:rsidTr="003F3563">
        <w:tc>
          <w:tcPr>
            <w:tcW w:w="1277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MVA-BN</w:t>
            </w:r>
          </w:p>
        </w:tc>
        <w:tc>
          <w:tcPr>
            <w:tcW w:w="1581" w:type="dxa"/>
          </w:tcPr>
          <w:p w:rsidR="00E93A6E" w:rsidRDefault="00E93A6E" w:rsidP="00E93A6E">
            <w:r>
              <w:t xml:space="preserve">Non-replicating </w:t>
            </w:r>
          </w:p>
        </w:tc>
        <w:tc>
          <w:tcPr>
            <w:tcW w:w="1166" w:type="dxa"/>
          </w:tcPr>
          <w:p w:rsidR="00E93A6E" w:rsidRDefault="00294333" w:rsidP="00294333">
            <w:r>
              <w:t>Frequent minor local and systemic AEFI</w:t>
            </w:r>
          </w:p>
        </w:tc>
        <w:tc>
          <w:tcPr>
            <w:tcW w:w="2442" w:type="dxa"/>
          </w:tcPr>
          <w:p w:rsidR="00E93A6E" w:rsidRDefault="00E93A6E" w:rsidP="00E93A6E">
            <w:r>
              <w:t>? myocarditis 4.77/</w:t>
            </w:r>
            <w:r w:rsidR="00501615">
              <w:t>million doses (not higher than b</w:t>
            </w:r>
            <w:r>
              <w:t>ackground)</w:t>
            </w:r>
          </w:p>
        </w:tc>
        <w:tc>
          <w:tcPr>
            <w:tcW w:w="2799" w:type="dxa"/>
          </w:tcPr>
          <w:p w:rsidR="00E93A6E" w:rsidRDefault="00E93A6E" w:rsidP="00E93A6E">
            <w:r>
              <w:t xml:space="preserve">Pre-exposure </w:t>
            </w:r>
            <w:r>
              <w:br/>
              <w:t xml:space="preserve">     1 dose – 74%  (50%-84%)</w:t>
            </w:r>
          </w:p>
          <w:p w:rsidR="00E93A6E" w:rsidRDefault="00E93A6E" w:rsidP="00E93A6E">
            <w:r>
              <w:t xml:space="preserve">     2 dose – 82%  (65%-89%)</w:t>
            </w:r>
          </w:p>
          <w:p w:rsidR="00E93A6E" w:rsidRDefault="00E93A6E" w:rsidP="00E93A6E">
            <w:r>
              <w:t xml:space="preserve">Post-exposure  </w:t>
            </w:r>
          </w:p>
          <w:p w:rsidR="00E93A6E" w:rsidRDefault="00E93A6E" w:rsidP="00E93A6E">
            <w:r>
              <w:t xml:space="preserve">      20% (-24%-64%)</w:t>
            </w:r>
          </w:p>
        </w:tc>
        <w:tc>
          <w:tcPr>
            <w:tcW w:w="2160" w:type="dxa"/>
          </w:tcPr>
          <w:p w:rsidR="00E93A6E" w:rsidRDefault="00E93A6E" w:rsidP="00E93A6E"/>
        </w:tc>
        <w:tc>
          <w:tcPr>
            <w:tcW w:w="1240" w:type="dxa"/>
          </w:tcPr>
          <w:p w:rsidR="00E93A6E" w:rsidRDefault="00E93A6E" w:rsidP="00E93A6E">
            <w:r>
              <w:t>Not studied</w:t>
            </w:r>
            <w:r w:rsidR="00267175">
              <w:t xml:space="preserve">; </w:t>
            </w:r>
          </w:p>
          <w:p w:rsidR="00267175" w:rsidRDefault="00267175" w:rsidP="003F3563">
            <w:r>
              <w:t xml:space="preserve">Booster 2-5 yrs </w:t>
            </w:r>
          </w:p>
        </w:tc>
        <w:tc>
          <w:tcPr>
            <w:tcW w:w="1820" w:type="dxa"/>
          </w:tcPr>
          <w:p w:rsidR="00E93A6E" w:rsidRDefault="00E93A6E" w:rsidP="00E93A6E">
            <w:r>
              <w:t>WHO SAGE 2024</w:t>
            </w:r>
          </w:p>
        </w:tc>
      </w:tr>
      <w:tr w:rsidR="003F3563" w:rsidTr="003F3563">
        <w:tc>
          <w:tcPr>
            <w:tcW w:w="1277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LC-16</w:t>
            </w:r>
          </w:p>
        </w:tc>
        <w:tc>
          <w:tcPr>
            <w:tcW w:w="1581" w:type="dxa"/>
          </w:tcPr>
          <w:p w:rsidR="00E93A6E" w:rsidRDefault="00E93A6E" w:rsidP="00E93A6E">
            <w:r>
              <w:t>Minimally replicating vaccinia based</w:t>
            </w:r>
          </w:p>
        </w:tc>
        <w:tc>
          <w:tcPr>
            <w:tcW w:w="1166" w:type="dxa"/>
          </w:tcPr>
          <w:p w:rsidR="00E93A6E" w:rsidRDefault="00294333" w:rsidP="00E93A6E">
            <w:r>
              <w:t>Frequent minor local and systemic AEFI</w:t>
            </w:r>
          </w:p>
        </w:tc>
        <w:tc>
          <w:tcPr>
            <w:tcW w:w="2442" w:type="dxa"/>
          </w:tcPr>
          <w:p w:rsidR="00E93A6E" w:rsidRDefault="00E93A6E" w:rsidP="00E93A6E">
            <w:r>
              <w:t xml:space="preserve">None identified </w:t>
            </w:r>
          </w:p>
        </w:tc>
        <w:tc>
          <w:tcPr>
            <w:tcW w:w="2799" w:type="dxa"/>
          </w:tcPr>
          <w:p w:rsidR="00E93A6E" w:rsidRDefault="00E93A6E" w:rsidP="00E93A6E">
            <w:r>
              <w:t>No human data</w:t>
            </w:r>
          </w:p>
          <w:p w:rsidR="00E93A6E" w:rsidRDefault="00E93A6E" w:rsidP="00E93A6E">
            <w:r>
              <w:t>100% Protective against lethal challenge – mice, rabbits, monkeys</w:t>
            </w:r>
          </w:p>
        </w:tc>
        <w:tc>
          <w:tcPr>
            <w:tcW w:w="2160" w:type="dxa"/>
          </w:tcPr>
          <w:p w:rsidR="00E93A6E" w:rsidRDefault="00E93A6E" w:rsidP="00E93A6E">
            <w:r>
              <w:t>90-100% take rate</w:t>
            </w:r>
          </w:p>
          <w:p w:rsidR="00E93A6E" w:rsidRDefault="00E93A6E" w:rsidP="00E93A6E">
            <w:r>
              <w:t>100% seroconversion (naïve)</w:t>
            </w:r>
          </w:p>
          <w:p w:rsidR="00E93A6E" w:rsidRDefault="00E93A6E" w:rsidP="00E93A6E">
            <w:r>
              <w:t>60% previously vaccinated</w:t>
            </w:r>
          </w:p>
        </w:tc>
        <w:tc>
          <w:tcPr>
            <w:tcW w:w="1240" w:type="dxa"/>
          </w:tcPr>
          <w:p w:rsidR="00E93A6E" w:rsidRDefault="00E93A6E" w:rsidP="00E93A6E">
            <w:r>
              <w:t>Not studied</w:t>
            </w:r>
          </w:p>
        </w:tc>
        <w:tc>
          <w:tcPr>
            <w:tcW w:w="1820" w:type="dxa"/>
          </w:tcPr>
          <w:p w:rsidR="00E93A6E" w:rsidRDefault="00E93A6E" w:rsidP="00E93A6E">
            <w:r>
              <w:t>WHO SAGE 2024</w:t>
            </w:r>
          </w:p>
        </w:tc>
      </w:tr>
      <w:tr w:rsidR="003F3563" w:rsidTr="003F3563">
        <w:tc>
          <w:tcPr>
            <w:tcW w:w="1277" w:type="dxa"/>
          </w:tcPr>
          <w:p w:rsidR="00E93A6E" w:rsidRPr="00A237F4" w:rsidRDefault="00E93A6E" w:rsidP="00E93A6E">
            <w:pPr>
              <w:rPr>
                <w:b/>
              </w:rPr>
            </w:pPr>
            <w:r w:rsidRPr="00A237F4">
              <w:rPr>
                <w:b/>
              </w:rPr>
              <w:t>ACAM2000</w:t>
            </w:r>
          </w:p>
        </w:tc>
        <w:tc>
          <w:tcPr>
            <w:tcW w:w="1581" w:type="dxa"/>
          </w:tcPr>
          <w:p w:rsidR="00E93A6E" w:rsidRDefault="00E93A6E" w:rsidP="00E93A6E">
            <w:r>
              <w:t xml:space="preserve">Replicating vaccinia-based vaccine </w:t>
            </w:r>
          </w:p>
        </w:tc>
        <w:tc>
          <w:tcPr>
            <w:tcW w:w="1166" w:type="dxa"/>
          </w:tcPr>
          <w:p w:rsidR="00E93A6E" w:rsidRDefault="00294333" w:rsidP="00E93A6E">
            <w:r>
              <w:t>Frequent minor local and systemic AEFI</w:t>
            </w:r>
          </w:p>
        </w:tc>
        <w:tc>
          <w:tcPr>
            <w:tcW w:w="2442" w:type="dxa"/>
          </w:tcPr>
          <w:p w:rsidR="00A237F4" w:rsidRDefault="00E93A6E" w:rsidP="00E93A6E">
            <w:r>
              <w:t>Myo</w:t>
            </w:r>
            <w:r w:rsidR="00A237F4">
              <w:t>peri</w:t>
            </w:r>
            <w:r>
              <w:t xml:space="preserve">carditis – </w:t>
            </w:r>
          </w:p>
          <w:p w:rsidR="00E93A6E" w:rsidRDefault="00A237F4" w:rsidP="00E93A6E">
            <w:r>
              <w:t xml:space="preserve">   </w:t>
            </w:r>
            <w:r w:rsidR="00E93A6E">
              <w:t>20.1 per 100,000 doses</w:t>
            </w:r>
          </w:p>
          <w:p w:rsidR="00E93A6E" w:rsidRDefault="00E93A6E" w:rsidP="00A237F4">
            <w:r>
              <w:t>Generalized vaccin</w:t>
            </w:r>
            <w:r w:rsidR="00A237F4">
              <w:t>ia</w:t>
            </w:r>
            <w:r w:rsidR="00A237F4">
              <w:br/>
              <w:t xml:space="preserve">  </w:t>
            </w:r>
            <w:r>
              <w:t xml:space="preserve"> (&lt;1 per 100,000 doses)</w:t>
            </w:r>
          </w:p>
        </w:tc>
        <w:tc>
          <w:tcPr>
            <w:tcW w:w="2799" w:type="dxa"/>
          </w:tcPr>
          <w:p w:rsidR="00E93A6E" w:rsidRDefault="00E93A6E" w:rsidP="00E93A6E">
            <w:r>
              <w:t>No human data</w:t>
            </w:r>
          </w:p>
          <w:p w:rsidR="00E93A6E" w:rsidRDefault="00E93A6E" w:rsidP="00E93A6E">
            <w:r>
              <w:t xml:space="preserve">100% Protective against lethal challenge in animals </w:t>
            </w:r>
          </w:p>
        </w:tc>
        <w:tc>
          <w:tcPr>
            <w:tcW w:w="2160" w:type="dxa"/>
          </w:tcPr>
          <w:p w:rsidR="00E93A6E" w:rsidRDefault="00E93A6E" w:rsidP="00E93A6E">
            <w:r>
              <w:t>~100% take rates (healthy 18-29 yrs)</w:t>
            </w:r>
          </w:p>
          <w:p w:rsidR="00E93A6E" w:rsidRDefault="00E93A6E" w:rsidP="00E93A6E">
            <w:r>
              <w:t>97% seroconversion (naïve)</w:t>
            </w:r>
          </w:p>
          <w:p w:rsidR="00E93A6E" w:rsidRDefault="00E93A6E" w:rsidP="00E93A6E">
            <w:r>
              <w:t>76% in previously vaccinated</w:t>
            </w:r>
          </w:p>
        </w:tc>
        <w:tc>
          <w:tcPr>
            <w:tcW w:w="1240" w:type="dxa"/>
          </w:tcPr>
          <w:p w:rsidR="00E93A6E" w:rsidRDefault="00E93A6E" w:rsidP="00E93A6E">
            <w:r>
              <w:t>Not studied</w:t>
            </w:r>
          </w:p>
        </w:tc>
        <w:tc>
          <w:tcPr>
            <w:tcW w:w="1820" w:type="dxa"/>
          </w:tcPr>
          <w:p w:rsidR="00E93A6E" w:rsidRDefault="00E93A6E" w:rsidP="00E93A6E">
            <w:r>
              <w:t>WHO SAGE 2024</w:t>
            </w:r>
          </w:p>
        </w:tc>
      </w:tr>
    </w:tbl>
    <w:p w:rsidR="00501615" w:rsidRDefault="00501615"/>
    <w:p w:rsidR="00267175" w:rsidRDefault="00501615">
      <w:r>
        <w:rPr>
          <w:sz w:val="20"/>
          <w:szCs w:val="20"/>
        </w:rPr>
        <w:t xml:space="preserve">Source:  WHO Position Paper – Smallpox 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z w:val="20"/>
          <w:szCs w:val="20"/>
        </w:rPr>
        <w:t>M</w:t>
      </w:r>
      <w:r>
        <w:rPr>
          <w:sz w:val="20"/>
          <w:szCs w:val="20"/>
        </w:rPr>
        <w:t xml:space="preserve">pox (Orthopoxviruses))(August 2024)  </w:t>
      </w:r>
      <w:hyperlink r:id="rId8" w:history="1">
        <w:r>
          <w:rPr>
            <w:rStyle w:val="Hyperlink"/>
          </w:rPr>
          <w:t>Immunization, Vaccines and Biologicals (who.int)</w:t>
        </w:r>
      </w:hyperlink>
      <w:r w:rsidRPr="00501615">
        <w:rPr>
          <w:sz w:val="20"/>
          <w:szCs w:val="20"/>
        </w:rPr>
        <w:t xml:space="preserve"> </w:t>
      </w:r>
      <w:r w:rsidR="00267175">
        <w:br w:type="page"/>
      </w:r>
    </w:p>
    <w:p w:rsidR="002B3E08" w:rsidRPr="00B115A8" w:rsidRDefault="00E93A6E" w:rsidP="002B3E08">
      <w:pPr>
        <w:rPr>
          <w:sz w:val="24"/>
          <w:szCs w:val="24"/>
        </w:rPr>
      </w:pPr>
      <w:r w:rsidRPr="00B115A8">
        <w:rPr>
          <w:sz w:val="24"/>
          <w:szCs w:val="24"/>
        </w:rPr>
        <w:lastRenderedPageBreak/>
        <w:t>Choice of Vaccine</w:t>
      </w:r>
      <w:r w:rsidR="00447BC8">
        <w:rPr>
          <w:sz w:val="24"/>
          <w:szCs w:val="24"/>
        </w:rPr>
        <w:t>s</w:t>
      </w:r>
      <w:r w:rsidRPr="00B115A8">
        <w:rPr>
          <w:sz w:val="24"/>
          <w:szCs w:val="24"/>
        </w:rPr>
        <w:t xml:space="preserve"> </w:t>
      </w:r>
      <w:r w:rsidR="00A237F4" w:rsidRPr="00B115A8">
        <w:rPr>
          <w:sz w:val="24"/>
          <w:szCs w:val="24"/>
        </w:rPr>
        <w:t>For Different At-Risk Population</w:t>
      </w:r>
      <w:r w:rsidR="00E240C2" w:rsidRPr="00B115A8">
        <w:rPr>
          <w:sz w:val="24"/>
          <w:szCs w:val="24"/>
        </w:rPr>
        <w:t>s</w:t>
      </w:r>
      <w:r w:rsidR="00A237F4" w:rsidRPr="00B115A8">
        <w:rPr>
          <w:sz w:val="24"/>
          <w:szCs w:val="24"/>
        </w:rPr>
        <w:t xml:space="preserve"> (WHO SAGE 2024</w:t>
      </w:r>
      <w:r w:rsidR="00501615">
        <w:rPr>
          <w:sz w:val="24"/>
          <w:szCs w:val="24"/>
        </w:rPr>
        <w:t xml:space="preserve">) </w:t>
      </w:r>
      <w:r w:rsidR="00A237F4" w:rsidRPr="00B115A8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1"/>
        <w:tblW w:w="12415" w:type="dxa"/>
        <w:tblLook w:val="04A0" w:firstRow="1" w:lastRow="0" w:firstColumn="1" w:lastColumn="0" w:noHBand="0" w:noVBand="1"/>
      </w:tblPr>
      <w:tblGrid>
        <w:gridCol w:w="1254"/>
        <w:gridCol w:w="1405"/>
        <w:gridCol w:w="1987"/>
        <w:gridCol w:w="1650"/>
        <w:gridCol w:w="1801"/>
        <w:gridCol w:w="2429"/>
        <w:gridCol w:w="1889"/>
      </w:tblGrid>
      <w:tr w:rsidR="00A237F4" w:rsidTr="00B115A8">
        <w:tc>
          <w:tcPr>
            <w:tcW w:w="1254" w:type="dxa"/>
          </w:tcPr>
          <w:p w:rsidR="00A237F4" w:rsidRPr="00A237F4" w:rsidRDefault="00A237F4" w:rsidP="00480B3B">
            <w:pPr>
              <w:rPr>
                <w:b/>
              </w:rPr>
            </w:pPr>
            <w:r w:rsidRPr="00A237F4">
              <w:rPr>
                <w:b/>
              </w:rPr>
              <w:t>Product</w:t>
            </w:r>
          </w:p>
        </w:tc>
        <w:tc>
          <w:tcPr>
            <w:tcW w:w="1405" w:type="dxa"/>
          </w:tcPr>
          <w:p w:rsidR="00A237F4" w:rsidRPr="00A237F4" w:rsidRDefault="00A237F4" w:rsidP="00480B3B">
            <w:pPr>
              <w:rPr>
                <w:b/>
              </w:rPr>
            </w:pPr>
            <w:r w:rsidRPr="00A237F4">
              <w:rPr>
                <w:b/>
              </w:rPr>
              <w:t>Description</w:t>
            </w:r>
          </w:p>
        </w:tc>
        <w:tc>
          <w:tcPr>
            <w:tcW w:w="1985" w:type="dxa"/>
          </w:tcPr>
          <w:p w:rsidR="00A237F4" w:rsidRPr="00A237F4" w:rsidRDefault="00A237F4" w:rsidP="00501615">
            <w:pPr>
              <w:jc w:val="center"/>
              <w:rPr>
                <w:b/>
              </w:rPr>
            </w:pPr>
            <w:r w:rsidRPr="00A237F4">
              <w:rPr>
                <w:b/>
              </w:rPr>
              <w:t>Adult (&gt; 18 yrs) Immunocompet</w:t>
            </w:r>
            <w:r w:rsidR="00501615">
              <w:rPr>
                <w:b/>
              </w:rPr>
              <w:t>e</w:t>
            </w:r>
            <w:r w:rsidRPr="00A237F4">
              <w:rPr>
                <w:b/>
              </w:rPr>
              <w:t>nt</w:t>
            </w:r>
          </w:p>
        </w:tc>
        <w:tc>
          <w:tcPr>
            <w:tcW w:w="1650" w:type="dxa"/>
          </w:tcPr>
          <w:p w:rsidR="00A237F4" w:rsidRPr="00A237F4" w:rsidRDefault="00A237F4" w:rsidP="00A237F4">
            <w:pPr>
              <w:jc w:val="center"/>
              <w:rPr>
                <w:b/>
              </w:rPr>
            </w:pPr>
            <w:r w:rsidRPr="00A237F4">
              <w:rPr>
                <w:b/>
              </w:rPr>
              <w:t>Infant, child, adolescent &lt; 18 yrs</w:t>
            </w:r>
          </w:p>
        </w:tc>
        <w:tc>
          <w:tcPr>
            <w:tcW w:w="1801" w:type="dxa"/>
          </w:tcPr>
          <w:p w:rsidR="00A237F4" w:rsidRPr="00A237F4" w:rsidRDefault="00A237F4" w:rsidP="00220858">
            <w:pPr>
              <w:jc w:val="center"/>
              <w:rPr>
                <w:b/>
              </w:rPr>
            </w:pPr>
            <w:r w:rsidRPr="00A237F4">
              <w:rPr>
                <w:b/>
              </w:rPr>
              <w:t>Pregnant women</w:t>
            </w:r>
          </w:p>
        </w:tc>
        <w:tc>
          <w:tcPr>
            <w:tcW w:w="2430" w:type="dxa"/>
          </w:tcPr>
          <w:p w:rsidR="00A237F4" w:rsidRPr="00A237F4" w:rsidRDefault="00A237F4" w:rsidP="00220858">
            <w:pPr>
              <w:jc w:val="center"/>
              <w:rPr>
                <w:b/>
              </w:rPr>
            </w:pPr>
            <w:r w:rsidRPr="00A237F4">
              <w:rPr>
                <w:b/>
              </w:rPr>
              <w:t>Immunocompromised (including persons living with HIV)</w:t>
            </w:r>
          </w:p>
          <w:p w:rsidR="00A237F4" w:rsidRPr="00A237F4" w:rsidRDefault="00A237F4" w:rsidP="0022085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237F4" w:rsidRPr="00267175" w:rsidRDefault="00267175" w:rsidP="00267175">
            <w:pPr>
              <w:jc w:val="center"/>
              <w:rPr>
                <w:b/>
              </w:rPr>
            </w:pPr>
            <w:r w:rsidRPr="00267175">
              <w:rPr>
                <w:b/>
              </w:rPr>
              <w:t>Other – Atopic Dermatitis</w:t>
            </w:r>
          </w:p>
        </w:tc>
      </w:tr>
      <w:tr w:rsidR="00A237F4" w:rsidTr="00B115A8">
        <w:tc>
          <w:tcPr>
            <w:tcW w:w="1254" w:type="dxa"/>
          </w:tcPr>
          <w:p w:rsidR="00A237F4" w:rsidRPr="00A237F4" w:rsidRDefault="00A237F4" w:rsidP="00480B3B">
            <w:pPr>
              <w:rPr>
                <w:b/>
              </w:rPr>
            </w:pPr>
            <w:r w:rsidRPr="00A237F4">
              <w:rPr>
                <w:b/>
              </w:rPr>
              <w:t>MVA-BN</w:t>
            </w:r>
          </w:p>
        </w:tc>
        <w:tc>
          <w:tcPr>
            <w:tcW w:w="1405" w:type="dxa"/>
          </w:tcPr>
          <w:p w:rsidR="00A237F4" w:rsidRDefault="00A237F4" w:rsidP="00480B3B">
            <w:r>
              <w:t xml:space="preserve">Non-replicating </w:t>
            </w:r>
          </w:p>
        </w:tc>
        <w:tc>
          <w:tcPr>
            <w:tcW w:w="1985" w:type="dxa"/>
          </w:tcPr>
          <w:p w:rsidR="00A237F4" w:rsidRDefault="00A237F4" w:rsidP="00E93A6E">
            <w:pPr>
              <w:jc w:val="center"/>
            </w:pPr>
            <w:r>
              <w:t>++</w:t>
            </w:r>
          </w:p>
        </w:tc>
        <w:tc>
          <w:tcPr>
            <w:tcW w:w="1650" w:type="dxa"/>
          </w:tcPr>
          <w:p w:rsidR="00A237F4" w:rsidRPr="00B115A8" w:rsidRDefault="00A237F4" w:rsidP="00B115A8">
            <w:pPr>
              <w:jc w:val="center"/>
              <w:rPr>
                <w:vertAlign w:val="superscript"/>
              </w:rPr>
            </w:pPr>
            <w:r>
              <w:t>+</w:t>
            </w:r>
            <w:r w:rsidR="00B115A8">
              <w:t>+</w:t>
            </w:r>
            <w:r w:rsidR="00E240C2">
              <w:t xml:space="preserve"> (US EUA)</w:t>
            </w:r>
            <w:r w:rsidR="00B115A8">
              <w:rPr>
                <w:vertAlign w:val="superscript"/>
              </w:rPr>
              <w:t>1</w:t>
            </w:r>
          </w:p>
        </w:tc>
        <w:tc>
          <w:tcPr>
            <w:tcW w:w="1801" w:type="dxa"/>
          </w:tcPr>
          <w:p w:rsidR="00A237F4" w:rsidRDefault="00A237F4" w:rsidP="00E93A6E">
            <w:pPr>
              <w:jc w:val="center"/>
            </w:pPr>
            <w:r>
              <w:t xml:space="preserve">+ (off label use) </w:t>
            </w:r>
          </w:p>
        </w:tc>
        <w:tc>
          <w:tcPr>
            <w:tcW w:w="2430" w:type="dxa"/>
          </w:tcPr>
          <w:p w:rsidR="00A237F4" w:rsidRDefault="00A237F4" w:rsidP="00E93A6E">
            <w:pPr>
              <w:jc w:val="center"/>
            </w:pPr>
            <w:r>
              <w:t>++</w:t>
            </w:r>
          </w:p>
        </w:tc>
        <w:tc>
          <w:tcPr>
            <w:tcW w:w="1890" w:type="dxa"/>
          </w:tcPr>
          <w:p w:rsidR="00A237F4" w:rsidRDefault="00267175" w:rsidP="00E93A6E">
            <w:pPr>
              <w:jc w:val="center"/>
            </w:pPr>
            <w:r>
              <w:t>++</w:t>
            </w:r>
          </w:p>
        </w:tc>
      </w:tr>
      <w:tr w:rsidR="00A237F4" w:rsidTr="00B115A8">
        <w:tc>
          <w:tcPr>
            <w:tcW w:w="1254" w:type="dxa"/>
          </w:tcPr>
          <w:p w:rsidR="00A237F4" w:rsidRPr="00A237F4" w:rsidRDefault="00A237F4" w:rsidP="00E93A6E">
            <w:pPr>
              <w:rPr>
                <w:b/>
              </w:rPr>
            </w:pPr>
            <w:r w:rsidRPr="00A237F4">
              <w:rPr>
                <w:b/>
              </w:rPr>
              <w:t>LC-16</w:t>
            </w:r>
          </w:p>
        </w:tc>
        <w:tc>
          <w:tcPr>
            <w:tcW w:w="1405" w:type="dxa"/>
          </w:tcPr>
          <w:p w:rsidR="00A237F4" w:rsidRDefault="00A237F4" w:rsidP="00E93A6E">
            <w:r>
              <w:t>Minimally replicating vaccinia based</w:t>
            </w:r>
          </w:p>
        </w:tc>
        <w:tc>
          <w:tcPr>
            <w:tcW w:w="1985" w:type="dxa"/>
          </w:tcPr>
          <w:p w:rsidR="00A237F4" w:rsidRDefault="00A237F4" w:rsidP="00E93A6E">
            <w:pPr>
              <w:jc w:val="center"/>
            </w:pPr>
            <w:r>
              <w:t>++</w:t>
            </w:r>
          </w:p>
        </w:tc>
        <w:tc>
          <w:tcPr>
            <w:tcW w:w="1650" w:type="dxa"/>
          </w:tcPr>
          <w:p w:rsidR="00A237F4" w:rsidRDefault="00A237F4" w:rsidP="00E93A6E">
            <w:pPr>
              <w:jc w:val="center"/>
            </w:pPr>
            <w:r>
              <w:t>++</w:t>
            </w:r>
          </w:p>
        </w:tc>
        <w:tc>
          <w:tcPr>
            <w:tcW w:w="1801" w:type="dxa"/>
          </w:tcPr>
          <w:p w:rsidR="00A237F4" w:rsidRDefault="00A237F4" w:rsidP="00E93A6E">
            <w:pPr>
              <w:jc w:val="center"/>
            </w:pPr>
            <w:r>
              <w:t xml:space="preserve">Contraindicated </w:t>
            </w:r>
          </w:p>
        </w:tc>
        <w:tc>
          <w:tcPr>
            <w:tcW w:w="2430" w:type="dxa"/>
          </w:tcPr>
          <w:p w:rsidR="00A237F4" w:rsidRDefault="00A237F4" w:rsidP="00E93A6E">
            <w:pPr>
              <w:jc w:val="center"/>
            </w:pPr>
            <w:r>
              <w:t xml:space="preserve">Contraindicated </w:t>
            </w:r>
          </w:p>
        </w:tc>
        <w:tc>
          <w:tcPr>
            <w:tcW w:w="1890" w:type="dxa"/>
          </w:tcPr>
          <w:p w:rsidR="00A237F4" w:rsidRDefault="00267175" w:rsidP="00E93A6E">
            <w:pPr>
              <w:jc w:val="center"/>
            </w:pPr>
            <w:r>
              <w:t xml:space="preserve">Contraindicated </w:t>
            </w:r>
          </w:p>
        </w:tc>
      </w:tr>
      <w:tr w:rsidR="00A237F4" w:rsidTr="00B115A8">
        <w:tc>
          <w:tcPr>
            <w:tcW w:w="1254" w:type="dxa"/>
          </w:tcPr>
          <w:p w:rsidR="00A237F4" w:rsidRPr="00A237F4" w:rsidRDefault="00A237F4" w:rsidP="00E93A6E">
            <w:pPr>
              <w:rPr>
                <w:b/>
              </w:rPr>
            </w:pPr>
            <w:r w:rsidRPr="00A237F4">
              <w:rPr>
                <w:b/>
              </w:rPr>
              <w:t>ACAM2000</w:t>
            </w:r>
          </w:p>
        </w:tc>
        <w:tc>
          <w:tcPr>
            <w:tcW w:w="1405" w:type="dxa"/>
          </w:tcPr>
          <w:p w:rsidR="00A237F4" w:rsidRDefault="00A237F4" w:rsidP="00E93A6E">
            <w:r>
              <w:t xml:space="preserve">Replicating vaccinia-based vaccine </w:t>
            </w:r>
          </w:p>
        </w:tc>
        <w:tc>
          <w:tcPr>
            <w:tcW w:w="1985" w:type="dxa"/>
          </w:tcPr>
          <w:p w:rsidR="00A237F4" w:rsidRDefault="00A237F4" w:rsidP="00E93A6E">
            <w:pPr>
              <w:jc w:val="center"/>
            </w:pPr>
            <w:r>
              <w:t>++</w:t>
            </w:r>
          </w:p>
        </w:tc>
        <w:tc>
          <w:tcPr>
            <w:tcW w:w="1650" w:type="dxa"/>
          </w:tcPr>
          <w:p w:rsidR="00A237F4" w:rsidRDefault="00A237F4" w:rsidP="00E93A6E">
            <w:pPr>
              <w:jc w:val="center"/>
            </w:pPr>
            <w:r>
              <w:t>-</w:t>
            </w:r>
          </w:p>
          <w:p w:rsidR="00A237F4" w:rsidRDefault="00A237F4" w:rsidP="00E93A6E">
            <w:pPr>
              <w:jc w:val="center"/>
            </w:pPr>
            <w:r>
              <w:t>Contraindicated &lt; 1 yr</w:t>
            </w:r>
          </w:p>
        </w:tc>
        <w:tc>
          <w:tcPr>
            <w:tcW w:w="1801" w:type="dxa"/>
          </w:tcPr>
          <w:p w:rsidR="00A237F4" w:rsidRDefault="00A237F4" w:rsidP="00E93A6E">
            <w:pPr>
              <w:jc w:val="center"/>
            </w:pPr>
            <w:r>
              <w:t xml:space="preserve">Contraindicated </w:t>
            </w:r>
          </w:p>
        </w:tc>
        <w:tc>
          <w:tcPr>
            <w:tcW w:w="2430" w:type="dxa"/>
          </w:tcPr>
          <w:p w:rsidR="00A237F4" w:rsidRDefault="00A237F4" w:rsidP="00E93A6E">
            <w:pPr>
              <w:jc w:val="center"/>
            </w:pPr>
            <w:r>
              <w:t xml:space="preserve">Contraindicated </w:t>
            </w:r>
          </w:p>
        </w:tc>
        <w:tc>
          <w:tcPr>
            <w:tcW w:w="1890" w:type="dxa"/>
          </w:tcPr>
          <w:p w:rsidR="00A237F4" w:rsidRDefault="00267175" w:rsidP="00E93A6E">
            <w:pPr>
              <w:jc w:val="center"/>
            </w:pPr>
            <w:r>
              <w:t xml:space="preserve">Contraindicated </w:t>
            </w:r>
          </w:p>
        </w:tc>
      </w:tr>
    </w:tbl>
    <w:p w:rsidR="00B35E92" w:rsidRPr="007A003F" w:rsidRDefault="00E240C2" w:rsidP="007A003F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7A003F">
        <w:rPr>
          <w:sz w:val="20"/>
          <w:szCs w:val="20"/>
        </w:rPr>
        <w:t>EUA - Emergency Use Authorization (United States)</w:t>
      </w:r>
    </w:p>
    <w:p w:rsidR="007A003F" w:rsidRDefault="007A003F" w:rsidP="007A003F">
      <w:pPr>
        <w:pStyle w:val="ListParagraph"/>
        <w:ind w:left="630"/>
      </w:pPr>
    </w:p>
    <w:p w:rsidR="007A003F" w:rsidRDefault="00501615" w:rsidP="00501615">
      <w:pPr>
        <w:pStyle w:val="ListParagraph"/>
        <w:ind w:left="630"/>
      </w:pPr>
      <w:r>
        <w:rPr>
          <w:sz w:val="20"/>
          <w:szCs w:val="20"/>
        </w:rPr>
        <w:t>Source:  WHO Position Paper – Smallpox a</w:t>
      </w:r>
      <w:r>
        <w:rPr>
          <w:sz w:val="20"/>
          <w:szCs w:val="20"/>
        </w:rPr>
        <w:t>n</w:t>
      </w:r>
      <w:r>
        <w:rPr>
          <w:sz w:val="20"/>
          <w:szCs w:val="20"/>
        </w:rPr>
        <w:t xml:space="preserve">d </w:t>
      </w:r>
      <w:r>
        <w:rPr>
          <w:sz w:val="20"/>
          <w:szCs w:val="20"/>
        </w:rPr>
        <w:t>M</w:t>
      </w:r>
      <w:r>
        <w:rPr>
          <w:sz w:val="20"/>
          <w:szCs w:val="20"/>
        </w:rPr>
        <w:t>pox (Orthopoxviruses)</w:t>
      </w:r>
      <w:r>
        <w:rPr>
          <w:sz w:val="20"/>
          <w:szCs w:val="20"/>
        </w:rPr>
        <w:t>(August 2024)</w:t>
      </w:r>
      <w:r>
        <w:rPr>
          <w:sz w:val="20"/>
          <w:szCs w:val="20"/>
        </w:rPr>
        <w:t xml:space="preserve">  </w:t>
      </w:r>
      <w:hyperlink r:id="rId9" w:history="1">
        <w:r>
          <w:rPr>
            <w:rStyle w:val="Hyperlink"/>
          </w:rPr>
          <w:t>Immunization, Vaccines and Biologicals (who.int)</w:t>
        </w:r>
      </w:hyperlink>
    </w:p>
    <w:p w:rsidR="007A003F" w:rsidRDefault="007A003F" w:rsidP="007A003F">
      <w:pPr>
        <w:pStyle w:val="ListParagraph"/>
        <w:ind w:left="630"/>
      </w:pPr>
    </w:p>
    <w:p w:rsidR="007A003F" w:rsidRDefault="007A003F">
      <w:r>
        <w:br w:type="page"/>
      </w:r>
    </w:p>
    <w:p w:rsidR="007A003F" w:rsidRDefault="007A003F" w:rsidP="00501615">
      <w:pPr>
        <w:pStyle w:val="ListParagraph"/>
        <w:ind w:left="630"/>
        <w:rPr>
          <w:sz w:val="24"/>
          <w:szCs w:val="24"/>
        </w:rPr>
      </w:pPr>
      <w:r w:rsidRPr="00831C8A">
        <w:rPr>
          <w:sz w:val="24"/>
          <w:szCs w:val="24"/>
        </w:rPr>
        <w:lastRenderedPageBreak/>
        <w:t>Considerations for Mpox Vaccine Recommendations</w:t>
      </w:r>
      <w:r w:rsidR="00DD7BAF">
        <w:rPr>
          <w:sz w:val="24"/>
          <w:szCs w:val="24"/>
        </w:rPr>
        <w:t xml:space="preserve"> (Domain 1 – Problem/Disease Burden)</w:t>
      </w:r>
      <w:r w:rsidRPr="00831C8A">
        <w:rPr>
          <w:sz w:val="24"/>
          <w:szCs w:val="24"/>
        </w:rPr>
        <w:t xml:space="preserve"> </w:t>
      </w:r>
      <w:r w:rsidR="00DD7BAF">
        <w:rPr>
          <w:sz w:val="24"/>
          <w:szCs w:val="24"/>
        </w:rPr>
        <w:t>- Worksheet</w:t>
      </w:r>
      <w:bookmarkStart w:id="0" w:name="_GoBack"/>
      <w:bookmarkEnd w:id="0"/>
    </w:p>
    <w:p w:rsidR="00501615" w:rsidRPr="00501615" w:rsidRDefault="00501615" w:rsidP="00501615">
      <w:pPr>
        <w:pStyle w:val="ListParagraph"/>
        <w:ind w:left="630"/>
      </w:pPr>
      <w:r w:rsidRPr="00501615">
        <w:t xml:space="preserve">Source:  WHO Position Paper – Smallpox and Mpox (Orthopoxviruses))(August 2024)  </w:t>
      </w:r>
      <w:hyperlink r:id="rId10" w:history="1">
        <w:r w:rsidRPr="00501615">
          <w:rPr>
            <w:rStyle w:val="Hyperlink"/>
          </w:rPr>
          <w:t>Immunization, Vaccines and Biologicals (who.int)</w:t>
        </w:r>
      </w:hyperlink>
    </w:p>
    <w:tbl>
      <w:tblPr>
        <w:tblStyle w:val="TableGrid"/>
        <w:tblpPr w:leftFromText="180" w:rightFromText="180" w:vertAnchor="text" w:horzAnchor="margin" w:tblpXSpec="center" w:tblpY="81"/>
        <w:tblW w:w="10923" w:type="dxa"/>
        <w:tblLook w:val="04A0" w:firstRow="1" w:lastRow="0" w:firstColumn="1" w:lastColumn="0" w:noHBand="0" w:noVBand="1"/>
      </w:tblPr>
      <w:tblGrid>
        <w:gridCol w:w="1417"/>
        <w:gridCol w:w="2201"/>
        <w:gridCol w:w="2407"/>
        <w:gridCol w:w="1800"/>
        <w:gridCol w:w="1611"/>
        <w:gridCol w:w="1487"/>
      </w:tblGrid>
      <w:tr w:rsidR="00294333" w:rsidRPr="00267175" w:rsidTr="00294333">
        <w:tc>
          <w:tcPr>
            <w:tcW w:w="1417" w:type="dxa"/>
          </w:tcPr>
          <w:p w:rsidR="00294333" w:rsidRPr="00A237F4" w:rsidRDefault="00294333" w:rsidP="00CE17D0">
            <w:pPr>
              <w:rPr>
                <w:b/>
              </w:rPr>
            </w:pPr>
            <w:r>
              <w:rPr>
                <w:b/>
              </w:rPr>
              <w:t>Outbreak Situation</w:t>
            </w:r>
          </w:p>
        </w:tc>
        <w:tc>
          <w:tcPr>
            <w:tcW w:w="2201" w:type="dxa"/>
          </w:tcPr>
          <w:p w:rsidR="00294333" w:rsidRPr="00A237F4" w:rsidRDefault="00294333" w:rsidP="00CE17D0">
            <w:pPr>
              <w:rPr>
                <w:b/>
              </w:rPr>
            </w:pPr>
            <w:r>
              <w:rPr>
                <w:b/>
              </w:rPr>
              <w:t>Risk Group</w:t>
            </w:r>
          </w:p>
        </w:tc>
        <w:tc>
          <w:tcPr>
            <w:tcW w:w="2407" w:type="dxa"/>
          </w:tcPr>
          <w:p w:rsidR="00294333" w:rsidRPr="00A237F4" w:rsidRDefault="00294333" w:rsidP="00CE17D0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1800" w:type="dxa"/>
          </w:tcPr>
          <w:p w:rsidR="00294333" w:rsidRPr="00A237F4" w:rsidRDefault="00294333" w:rsidP="00CE17D0">
            <w:pPr>
              <w:jc w:val="center"/>
              <w:rPr>
                <w:b/>
              </w:rPr>
            </w:pPr>
            <w:r>
              <w:rPr>
                <w:b/>
              </w:rPr>
              <w:t>Geographic considerations</w:t>
            </w:r>
          </w:p>
        </w:tc>
        <w:tc>
          <w:tcPr>
            <w:tcW w:w="1611" w:type="dxa"/>
          </w:tcPr>
          <w:p w:rsidR="00294333" w:rsidRPr="00A237F4" w:rsidRDefault="00294333" w:rsidP="00CE17D0">
            <w:pPr>
              <w:jc w:val="center"/>
              <w:rPr>
                <w:b/>
              </w:rPr>
            </w:pPr>
            <w:r>
              <w:rPr>
                <w:b/>
              </w:rPr>
              <w:t>Estimated Risk</w:t>
            </w:r>
          </w:p>
        </w:tc>
        <w:tc>
          <w:tcPr>
            <w:tcW w:w="1487" w:type="dxa"/>
          </w:tcPr>
          <w:p w:rsidR="00294333" w:rsidRPr="00A237F4" w:rsidRDefault="00294333" w:rsidP="00CE17D0">
            <w:pPr>
              <w:jc w:val="center"/>
              <w:rPr>
                <w:b/>
              </w:rPr>
            </w:pPr>
            <w:r>
              <w:rPr>
                <w:b/>
              </w:rPr>
              <w:t xml:space="preserve">Risk complications </w:t>
            </w:r>
          </w:p>
        </w:tc>
      </w:tr>
      <w:tr w:rsidR="00294333" w:rsidRPr="00267175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407" w:type="dxa"/>
          </w:tcPr>
          <w:p w:rsidR="00294333" w:rsidRPr="00831C8A" w:rsidRDefault="00294333" w:rsidP="00CE17D0">
            <w:pPr>
              <w:jc w:val="center"/>
            </w:pPr>
            <w:r w:rsidRPr="00831C8A">
              <w:t>Risk defined per national/local epidemiology</w:t>
            </w:r>
          </w:p>
        </w:tc>
        <w:tc>
          <w:tcPr>
            <w:tcW w:w="1800" w:type="dxa"/>
          </w:tcPr>
          <w:p w:rsidR="00294333" w:rsidRPr="00831C8A" w:rsidRDefault="00294333" w:rsidP="00294333">
            <w:pPr>
              <w:jc w:val="center"/>
            </w:pPr>
            <w:r w:rsidRPr="00831C8A">
              <w:t xml:space="preserve">Risk defined per national/local </w:t>
            </w:r>
            <w:r>
              <w:t>incidence, epidemiology</w:t>
            </w:r>
          </w:p>
        </w:tc>
        <w:tc>
          <w:tcPr>
            <w:tcW w:w="1611" w:type="dxa"/>
          </w:tcPr>
          <w:p w:rsidR="00294333" w:rsidRPr="00831C8A" w:rsidRDefault="00294333" w:rsidP="00CE17D0">
            <w:pPr>
              <w:jc w:val="center"/>
            </w:pPr>
            <w:r w:rsidRPr="00831C8A">
              <w:t>Risk defined per national/local epidemio</w:t>
            </w:r>
            <w:r w:rsidRPr="00831C8A">
              <w:t>lo</w:t>
            </w:r>
            <w:r w:rsidRPr="00831C8A">
              <w:t>gy</w:t>
            </w: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  <w:rPr>
                <w:b/>
              </w:rPr>
            </w:pPr>
          </w:p>
        </w:tc>
      </w:tr>
      <w:tr w:rsidR="00294333" w:rsidTr="00294333">
        <w:tc>
          <w:tcPr>
            <w:tcW w:w="1417" w:type="dxa"/>
          </w:tcPr>
          <w:p w:rsidR="00294333" w:rsidRPr="00A237F4" w:rsidRDefault="00294333" w:rsidP="00A04996">
            <w:pPr>
              <w:rPr>
                <w:b/>
              </w:rPr>
            </w:pPr>
            <w:r>
              <w:rPr>
                <w:b/>
              </w:rPr>
              <w:t xml:space="preserve">Non-Outbreak  </w:t>
            </w:r>
          </w:p>
        </w:tc>
        <w:tc>
          <w:tcPr>
            <w:tcW w:w="2201" w:type="dxa"/>
          </w:tcPr>
          <w:p w:rsidR="00294333" w:rsidRDefault="00294333" w:rsidP="00CE17D0">
            <w:r>
              <w:t xml:space="preserve">Laboratory workers </w:t>
            </w:r>
          </w:p>
        </w:tc>
        <w:tc>
          <w:tcPr>
            <w:tcW w:w="2407" w:type="dxa"/>
          </w:tcPr>
          <w:p w:rsidR="00294333" w:rsidRDefault="00294333" w:rsidP="00CE17D0">
            <w:pPr>
              <w:jc w:val="center"/>
            </w:pPr>
            <w:r>
              <w:t xml:space="preserve">Exposure to orthopox viruses </w:t>
            </w:r>
          </w:p>
        </w:tc>
        <w:tc>
          <w:tcPr>
            <w:tcW w:w="1800" w:type="dxa"/>
          </w:tcPr>
          <w:p w:rsidR="00294333" w:rsidRPr="00B115A8" w:rsidRDefault="00294333" w:rsidP="00CE17D0">
            <w:pPr>
              <w:jc w:val="center"/>
              <w:rPr>
                <w:vertAlign w:val="superscript"/>
              </w:rPr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</w:p>
        </w:tc>
      </w:tr>
      <w:tr w:rsidR="00294333" w:rsidTr="00294333">
        <w:tc>
          <w:tcPr>
            <w:tcW w:w="1417" w:type="dxa"/>
          </w:tcPr>
          <w:p w:rsidR="00294333" w:rsidRPr="00A237F4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r>
              <w:t>Outbreak response team</w:t>
            </w:r>
          </w:p>
        </w:tc>
        <w:tc>
          <w:tcPr>
            <w:tcW w:w="2407" w:type="dxa"/>
          </w:tcPr>
          <w:p w:rsidR="00294333" w:rsidRDefault="00294333" w:rsidP="00CE17D0">
            <w:pPr>
              <w:jc w:val="center"/>
            </w:pPr>
            <w:r>
              <w:t>Potential exposure to orthopox viruses</w:t>
            </w: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</w:p>
        </w:tc>
      </w:tr>
      <w:tr w:rsidR="00294333" w:rsidTr="00294333">
        <w:tc>
          <w:tcPr>
            <w:tcW w:w="1417" w:type="dxa"/>
          </w:tcPr>
          <w:p w:rsidR="00294333" w:rsidRPr="00A237F4" w:rsidRDefault="00294333" w:rsidP="00CE17D0">
            <w:pPr>
              <w:rPr>
                <w:b/>
              </w:rPr>
            </w:pPr>
            <w:r>
              <w:rPr>
                <w:b/>
              </w:rPr>
              <w:t xml:space="preserve">Prevention – Outbreak </w:t>
            </w:r>
          </w:p>
        </w:tc>
        <w:tc>
          <w:tcPr>
            <w:tcW w:w="2201" w:type="dxa"/>
          </w:tcPr>
          <w:p w:rsidR="00294333" w:rsidRDefault="00294333" w:rsidP="00A04996">
            <w:r>
              <w:t>Contacts of cases</w:t>
            </w:r>
          </w:p>
        </w:tc>
        <w:tc>
          <w:tcPr>
            <w:tcW w:w="2407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</w:p>
        </w:tc>
      </w:tr>
      <w:tr w:rsidR="00294333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r>
              <w:t>Health workers involved in outbreak</w:t>
            </w:r>
          </w:p>
        </w:tc>
        <w:tc>
          <w:tcPr>
            <w:tcW w:w="2407" w:type="dxa"/>
          </w:tcPr>
          <w:p w:rsidR="00294333" w:rsidRDefault="00294333" w:rsidP="00294333">
            <w:pPr>
              <w:jc w:val="center"/>
            </w:pPr>
            <w:r>
              <w:t xml:space="preserve">HW, laboratorians, persons with clinical contact with cases; lab laboratory specimens, contaminated materials </w:t>
            </w: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</w:p>
        </w:tc>
      </w:tr>
      <w:tr w:rsidR="00294333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r>
              <w:t xml:space="preserve">First responders/ frontline workers involved in outbreak </w:t>
            </w:r>
          </w:p>
        </w:tc>
        <w:tc>
          <w:tcPr>
            <w:tcW w:w="2407" w:type="dxa"/>
          </w:tcPr>
          <w:p w:rsidR="00294333" w:rsidRDefault="00294333" w:rsidP="00294333">
            <w:pPr>
              <w:jc w:val="center"/>
            </w:pPr>
            <w:r>
              <w:t xml:space="preserve">Potential contact </w:t>
            </w:r>
            <w:r>
              <w:t>with  cases</w:t>
            </w:r>
            <w:r>
              <w:t>, contaminated materials</w:t>
            </w: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</w:p>
        </w:tc>
      </w:tr>
      <w:tr w:rsidR="00294333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r>
              <w:t xml:space="preserve">Sexually active with casual partners (e.g. </w:t>
            </w:r>
          </w:p>
        </w:tc>
        <w:tc>
          <w:tcPr>
            <w:tcW w:w="2407" w:type="dxa"/>
          </w:tcPr>
          <w:p w:rsidR="00294333" w:rsidRDefault="00294333" w:rsidP="00501615">
            <w:pPr>
              <w:jc w:val="center"/>
            </w:pPr>
            <w:r>
              <w:t xml:space="preserve">MSM, sex </w:t>
            </w:r>
            <w:r>
              <w:t>commercial w</w:t>
            </w:r>
            <w:r>
              <w:t xml:space="preserve">orkers, heterosexuals with multiple </w:t>
            </w:r>
            <w:r w:rsidR="00501615">
              <w:t xml:space="preserve">casual </w:t>
            </w:r>
            <w:r>
              <w:t>partners</w:t>
            </w: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</w:p>
        </w:tc>
      </w:tr>
      <w:tr w:rsidR="00294333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r>
              <w:t xml:space="preserve">Children </w:t>
            </w:r>
          </w:p>
        </w:tc>
        <w:tc>
          <w:tcPr>
            <w:tcW w:w="2407" w:type="dxa"/>
          </w:tcPr>
          <w:p w:rsidR="00294333" w:rsidRDefault="00294333" w:rsidP="00CE17D0">
            <w:pPr>
              <w:jc w:val="center"/>
            </w:pPr>
            <w:r>
              <w:t>&lt;5 yrs</w:t>
            </w: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294333">
            <w:pPr>
              <w:jc w:val="center"/>
            </w:pPr>
            <w:r>
              <w:t xml:space="preserve">++ </w:t>
            </w:r>
          </w:p>
        </w:tc>
      </w:tr>
      <w:tr w:rsidR="00294333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/>
        </w:tc>
        <w:tc>
          <w:tcPr>
            <w:tcW w:w="2407" w:type="dxa"/>
          </w:tcPr>
          <w:p w:rsidR="00294333" w:rsidRDefault="00294333" w:rsidP="00CE17D0">
            <w:pPr>
              <w:jc w:val="center"/>
            </w:pPr>
            <w:r>
              <w:t>5-18 yrs</w:t>
            </w: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</w:p>
        </w:tc>
      </w:tr>
      <w:tr w:rsidR="00294333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r>
              <w:t xml:space="preserve">Immunocompromised </w:t>
            </w:r>
          </w:p>
        </w:tc>
        <w:tc>
          <w:tcPr>
            <w:tcW w:w="2407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  <w:r>
              <w:t>+++</w:t>
            </w:r>
          </w:p>
        </w:tc>
      </w:tr>
      <w:tr w:rsidR="00294333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r>
              <w:t xml:space="preserve">Congregate settings </w:t>
            </w:r>
          </w:p>
        </w:tc>
        <w:tc>
          <w:tcPr>
            <w:tcW w:w="2407" w:type="dxa"/>
          </w:tcPr>
          <w:p w:rsidR="00294333" w:rsidRDefault="00294333" w:rsidP="00CE17D0">
            <w:pPr>
              <w:jc w:val="center"/>
            </w:pPr>
            <w:r>
              <w:t xml:space="preserve">Eg. prisons, boarding schools, etc </w:t>
            </w: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</w:p>
        </w:tc>
      </w:tr>
      <w:tr w:rsidR="00294333" w:rsidTr="00294333">
        <w:tc>
          <w:tcPr>
            <w:tcW w:w="1417" w:type="dxa"/>
          </w:tcPr>
          <w:p w:rsidR="00294333" w:rsidRDefault="00294333" w:rsidP="00CE17D0">
            <w:pPr>
              <w:rPr>
                <w:b/>
              </w:rPr>
            </w:pPr>
          </w:p>
        </w:tc>
        <w:tc>
          <w:tcPr>
            <w:tcW w:w="2201" w:type="dxa"/>
          </w:tcPr>
          <w:p w:rsidR="00294333" w:rsidRDefault="00294333" w:rsidP="00CE17D0">
            <w:r>
              <w:t xml:space="preserve">Pregnant women </w:t>
            </w:r>
          </w:p>
        </w:tc>
        <w:tc>
          <w:tcPr>
            <w:tcW w:w="2407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800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611" w:type="dxa"/>
          </w:tcPr>
          <w:p w:rsidR="00294333" w:rsidRDefault="00294333" w:rsidP="00CE17D0">
            <w:pPr>
              <w:jc w:val="center"/>
            </w:pPr>
          </w:p>
        </w:tc>
        <w:tc>
          <w:tcPr>
            <w:tcW w:w="1487" w:type="dxa"/>
          </w:tcPr>
          <w:p w:rsidR="00294333" w:rsidRDefault="00294333" w:rsidP="00CE17D0">
            <w:pPr>
              <w:jc w:val="center"/>
            </w:pPr>
            <w:r>
              <w:t>++</w:t>
            </w:r>
          </w:p>
        </w:tc>
      </w:tr>
    </w:tbl>
    <w:p w:rsidR="007A003F" w:rsidRPr="00B35E92" w:rsidRDefault="007A003F" w:rsidP="007A003F">
      <w:pPr>
        <w:pStyle w:val="ListParagraph"/>
        <w:ind w:left="630"/>
      </w:pPr>
    </w:p>
    <w:sectPr w:rsidR="007A003F" w:rsidRPr="00B35E92" w:rsidSect="00B35E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43" w:rsidRDefault="008C1343" w:rsidP="00B35E92">
      <w:pPr>
        <w:spacing w:after="0" w:line="240" w:lineRule="auto"/>
      </w:pPr>
      <w:r>
        <w:separator/>
      </w:r>
    </w:p>
  </w:endnote>
  <w:endnote w:type="continuationSeparator" w:id="0">
    <w:p w:rsidR="008C1343" w:rsidRDefault="008C1343" w:rsidP="00B3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43" w:rsidRDefault="008C1343" w:rsidP="00B35E92">
      <w:pPr>
        <w:spacing w:after="0" w:line="240" w:lineRule="auto"/>
      </w:pPr>
      <w:r>
        <w:separator/>
      </w:r>
    </w:p>
  </w:footnote>
  <w:footnote w:type="continuationSeparator" w:id="0">
    <w:p w:rsidR="008C1343" w:rsidRDefault="008C1343" w:rsidP="00B3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D07"/>
    <w:multiLevelType w:val="hybridMultilevel"/>
    <w:tmpl w:val="A784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4D8F"/>
    <w:multiLevelType w:val="hybridMultilevel"/>
    <w:tmpl w:val="E5B29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3933"/>
    <w:multiLevelType w:val="hybridMultilevel"/>
    <w:tmpl w:val="4606B1A2"/>
    <w:lvl w:ilvl="0" w:tplc="22988754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A72A0"/>
    <w:multiLevelType w:val="hybridMultilevel"/>
    <w:tmpl w:val="8A882B1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D630EC0"/>
    <w:multiLevelType w:val="hybridMultilevel"/>
    <w:tmpl w:val="84D8BF1E"/>
    <w:lvl w:ilvl="0" w:tplc="F6BC1F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61B0E0A"/>
    <w:multiLevelType w:val="hybridMultilevel"/>
    <w:tmpl w:val="B11AA6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CF0324D"/>
    <w:multiLevelType w:val="hybridMultilevel"/>
    <w:tmpl w:val="9890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418F0"/>
    <w:multiLevelType w:val="hybridMultilevel"/>
    <w:tmpl w:val="C72EB402"/>
    <w:lvl w:ilvl="0" w:tplc="CADAC02A">
      <w:start w:val="16"/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3110B86"/>
    <w:multiLevelType w:val="hybridMultilevel"/>
    <w:tmpl w:val="1C74E490"/>
    <w:lvl w:ilvl="0" w:tplc="4A32BDF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C21DB"/>
    <w:multiLevelType w:val="hybridMultilevel"/>
    <w:tmpl w:val="8ED03A40"/>
    <w:lvl w:ilvl="0" w:tplc="184433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872E5"/>
    <w:multiLevelType w:val="hybridMultilevel"/>
    <w:tmpl w:val="6338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521E6"/>
    <w:multiLevelType w:val="hybridMultilevel"/>
    <w:tmpl w:val="9F4CD1B4"/>
    <w:lvl w:ilvl="0" w:tplc="CC1041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92"/>
    <w:rsid w:val="00195111"/>
    <w:rsid w:val="00220858"/>
    <w:rsid w:val="00267175"/>
    <w:rsid w:val="00294333"/>
    <w:rsid w:val="002B3E08"/>
    <w:rsid w:val="003F3563"/>
    <w:rsid w:val="00447BC8"/>
    <w:rsid w:val="00501615"/>
    <w:rsid w:val="007A003F"/>
    <w:rsid w:val="007E418F"/>
    <w:rsid w:val="00831C8A"/>
    <w:rsid w:val="00880858"/>
    <w:rsid w:val="008C1343"/>
    <w:rsid w:val="00A04996"/>
    <w:rsid w:val="00A237F4"/>
    <w:rsid w:val="00B115A8"/>
    <w:rsid w:val="00B35E92"/>
    <w:rsid w:val="00CE17D0"/>
    <w:rsid w:val="00DD7BAF"/>
    <w:rsid w:val="00E240C2"/>
    <w:rsid w:val="00E93A6E"/>
    <w:rsid w:val="00E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74D7"/>
  <w15:chartTrackingRefBased/>
  <w15:docId w15:val="{296ACD6A-C904-4115-A5D2-EC7621BC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E92"/>
  </w:style>
  <w:style w:type="paragraph" w:styleId="Footer">
    <w:name w:val="footer"/>
    <w:basedOn w:val="Normal"/>
    <w:link w:val="FooterChar"/>
    <w:uiPriority w:val="99"/>
    <w:unhideWhenUsed/>
    <w:rsid w:val="00B35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E92"/>
  </w:style>
  <w:style w:type="table" w:styleId="TableGrid">
    <w:name w:val="Table Grid"/>
    <w:basedOn w:val="TableNormal"/>
    <w:uiPriority w:val="39"/>
    <w:rsid w:val="00B3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0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16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teams/immunization-vaccines-and-biologicals/policies/position-papers/smallpox-and-mpox-(orthopoxviruses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teams/immunization-vaccines-and-biologicals/policies/position-papers/smallpox-and-mpox-(orthopoxviruses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ho.int/teams/immunization-vaccines-and-biologicals/policies/position-papers/smallpox-and-mpox-(orthopoxviruse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teams/immunization-vaccines-and-biologicals/policies/position-papers/smallpox-and-mpox-(orthopoxviruse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Hadler</dc:creator>
  <cp:keywords/>
  <dc:description/>
  <cp:lastModifiedBy>Steve Hadler</cp:lastModifiedBy>
  <cp:revision>8</cp:revision>
  <dcterms:created xsi:type="dcterms:W3CDTF">2024-08-24T19:05:00Z</dcterms:created>
  <dcterms:modified xsi:type="dcterms:W3CDTF">2024-08-25T17:33:00Z</dcterms:modified>
</cp:coreProperties>
</file>