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E97E2" w14:textId="77777777" w:rsidR="001B3B86" w:rsidRDefault="001B3B86" w:rsidP="005979DA">
      <w:pPr>
        <w:rPr>
          <w:rFonts w:ascii="Arial" w:hAnsi="Arial"/>
          <w:sz w:val="20"/>
          <w:szCs w:val="20"/>
        </w:rPr>
      </w:pPr>
      <w:bookmarkStart w:id="0" w:name="_GoBack"/>
      <w:bookmarkEnd w:id="0"/>
    </w:p>
    <w:p w14:paraId="3C05A84C" w14:textId="66E7D6C5" w:rsidR="005979DA" w:rsidRPr="00D1163E" w:rsidRDefault="005979DA" w:rsidP="005979DA">
      <w:pPr>
        <w:rPr>
          <w:rFonts w:ascii="Arial" w:hAnsi="Arial"/>
          <w:sz w:val="20"/>
          <w:szCs w:val="20"/>
        </w:rPr>
      </w:pPr>
      <w:r w:rsidRPr="00D1163E">
        <w:rPr>
          <w:rFonts w:ascii="Arial" w:hAnsi="Arial"/>
          <w:sz w:val="20"/>
          <w:szCs w:val="20"/>
        </w:rPr>
        <w:t>Issued:</w:t>
      </w:r>
      <w:r w:rsidR="00F76586">
        <w:rPr>
          <w:rFonts w:ascii="Arial" w:hAnsi="Arial"/>
          <w:sz w:val="20"/>
          <w:szCs w:val="20"/>
        </w:rPr>
        <w:t xml:space="preserve"> 29 October</w:t>
      </w:r>
      <w:r w:rsidR="00C02F9D">
        <w:rPr>
          <w:rFonts w:ascii="Arial" w:hAnsi="Arial"/>
          <w:sz w:val="20"/>
          <w:szCs w:val="20"/>
        </w:rPr>
        <w:t xml:space="preserve">, </w:t>
      </w:r>
      <w:r w:rsidRPr="00D1163E">
        <w:rPr>
          <w:rFonts w:ascii="Arial" w:hAnsi="Arial"/>
          <w:sz w:val="20"/>
          <w:szCs w:val="20"/>
        </w:rPr>
        <w:t>London UK</w:t>
      </w:r>
    </w:p>
    <w:p w14:paraId="2EB0009E" w14:textId="6321F350" w:rsidR="005979DA" w:rsidRPr="00F76586" w:rsidRDefault="00F76586" w:rsidP="00F76586">
      <w:pPr>
        <w:spacing w:before="100" w:beforeAutospacing="1" w:after="100" w:afterAutospacing="1"/>
        <w:rPr>
          <w:rFonts w:eastAsia="Times New Roman"/>
        </w:rPr>
      </w:pPr>
      <w:r w:rsidRPr="005A2755">
        <w:rPr>
          <w:rFonts w:ascii="Arial" w:eastAsia="Times New Roman" w:hAnsi="Arial" w:cs="Arial"/>
          <w:b/>
          <w:bCs/>
          <w:sz w:val="36"/>
          <w:szCs w:val="36"/>
        </w:rPr>
        <w:t xml:space="preserve">GSK candidate vaccine </w:t>
      </w:r>
      <w:r>
        <w:rPr>
          <w:rFonts w:ascii="Arial" w:eastAsia="Times New Roman" w:hAnsi="Arial" w:cs="Arial"/>
          <w:b/>
          <w:bCs/>
          <w:sz w:val="36"/>
          <w:szCs w:val="36"/>
        </w:rPr>
        <w:t xml:space="preserve">demonstrates sustained level of protection against </w:t>
      </w:r>
      <w:r w:rsidRPr="005A2755">
        <w:rPr>
          <w:rFonts w:ascii="Arial" w:eastAsia="Times New Roman" w:hAnsi="Arial" w:cs="Arial"/>
          <w:b/>
          <w:bCs/>
          <w:sz w:val="36"/>
          <w:szCs w:val="36"/>
        </w:rPr>
        <w:t xml:space="preserve">active pulmonary tuberculosis </w:t>
      </w:r>
    </w:p>
    <w:p w14:paraId="1690D193" w14:textId="77777777" w:rsidR="00694716" w:rsidRPr="00694716" w:rsidRDefault="00F76586" w:rsidP="00694716">
      <w:pPr>
        <w:pStyle w:val="ListParagraph"/>
        <w:numPr>
          <w:ilvl w:val="0"/>
          <w:numId w:val="6"/>
        </w:numPr>
        <w:ind w:left="270" w:hanging="270"/>
        <w:rPr>
          <w:rFonts w:ascii="Arial" w:hAnsi="Arial"/>
          <w:sz w:val="28"/>
          <w:szCs w:val="28"/>
          <w:vertAlign w:val="superscript"/>
        </w:rPr>
      </w:pPr>
      <w:r w:rsidRPr="00694716">
        <w:rPr>
          <w:rFonts w:ascii="Arial" w:hAnsi="Arial"/>
          <w:sz w:val="28"/>
          <w:szCs w:val="28"/>
        </w:rPr>
        <w:t>Final analysis of phase IIb study published today in the New England Journal of Me</w:t>
      </w:r>
      <w:r w:rsidR="009374A9" w:rsidRPr="00694716">
        <w:rPr>
          <w:rFonts w:ascii="Arial" w:hAnsi="Arial"/>
          <w:sz w:val="28"/>
          <w:szCs w:val="28"/>
        </w:rPr>
        <w:t>dicine and presented at the 50</w:t>
      </w:r>
      <w:r w:rsidR="009374A9" w:rsidRPr="00694716">
        <w:rPr>
          <w:rFonts w:ascii="Arial" w:hAnsi="Arial"/>
          <w:sz w:val="28"/>
          <w:szCs w:val="28"/>
          <w:vertAlign w:val="superscript"/>
        </w:rPr>
        <w:t xml:space="preserve">th </w:t>
      </w:r>
      <w:r w:rsidRPr="00694716">
        <w:rPr>
          <w:rFonts w:ascii="Arial" w:hAnsi="Arial"/>
          <w:sz w:val="28"/>
          <w:szCs w:val="28"/>
        </w:rPr>
        <w:t xml:space="preserve">Union World Conference on Lung Health. </w:t>
      </w:r>
    </w:p>
    <w:p w14:paraId="17ACEB40" w14:textId="541DCEBB" w:rsidR="00F76586" w:rsidRPr="00694716" w:rsidRDefault="00F76586" w:rsidP="00694716">
      <w:pPr>
        <w:pStyle w:val="ListParagraph"/>
        <w:numPr>
          <w:ilvl w:val="0"/>
          <w:numId w:val="6"/>
        </w:numPr>
        <w:ind w:left="270" w:hanging="270"/>
        <w:rPr>
          <w:rFonts w:ascii="Arial" w:hAnsi="Arial"/>
          <w:sz w:val="28"/>
          <w:szCs w:val="28"/>
          <w:vertAlign w:val="superscript"/>
        </w:rPr>
      </w:pPr>
      <w:r w:rsidRPr="00694716">
        <w:rPr>
          <w:rFonts w:ascii="Arial" w:hAnsi="Arial"/>
          <w:sz w:val="28"/>
          <w:szCs w:val="28"/>
        </w:rPr>
        <w:t>Final results confirm the innovative TB candidate vaccine’s efficacy level and acceptable safety profile in three-year clinical trial conducted in sub-Saharan African regions.</w:t>
      </w:r>
    </w:p>
    <w:p w14:paraId="79111DCC" w14:textId="77777777" w:rsidR="001228E8" w:rsidRDefault="00DB1E9E" w:rsidP="00801F88">
      <w:pPr>
        <w:jc w:val="both"/>
        <w:rPr>
          <w:rFonts w:ascii="Arial" w:hAnsi="Arial"/>
          <w:sz w:val="20"/>
          <w:szCs w:val="20"/>
        </w:rPr>
      </w:pPr>
      <w:r>
        <w:rPr>
          <w:rFonts w:ascii="Arial" w:hAnsi="Arial"/>
          <w:noProof/>
          <w:sz w:val="20"/>
          <w:szCs w:val="20"/>
          <w:lang w:eastAsia="en-GB"/>
        </w:rPr>
        <w:drawing>
          <wp:inline distT="0" distB="0" distL="0" distR="0" wp14:anchorId="2A283220" wp14:editId="6317CBA4">
            <wp:extent cx="5391150" cy="38100"/>
            <wp:effectExtent l="19050" t="0" r="0" b="0"/>
            <wp:docPr id="1" name="Picture 1" descr="dottedline_orang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tedline_orange-small"/>
                    <pic:cNvPicPr>
                      <a:picLocks noChangeAspect="1" noChangeArrowheads="1"/>
                    </pic:cNvPicPr>
                  </pic:nvPicPr>
                  <pic:blipFill>
                    <a:blip r:embed="rId11" cstate="print"/>
                    <a:srcRect/>
                    <a:stretch>
                      <a:fillRect/>
                    </a:stretch>
                  </pic:blipFill>
                  <pic:spPr bwMode="auto">
                    <a:xfrm>
                      <a:off x="0" y="0"/>
                      <a:ext cx="5391150" cy="38100"/>
                    </a:xfrm>
                    <a:prstGeom prst="rect">
                      <a:avLst/>
                    </a:prstGeom>
                    <a:noFill/>
                    <a:ln w="9525">
                      <a:noFill/>
                      <a:miter lim="800000"/>
                      <a:headEnd/>
                      <a:tailEnd/>
                    </a:ln>
                  </pic:spPr>
                </pic:pic>
              </a:graphicData>
            </a:graphic>
          </wp:inline>
        </w:drawing>
      </w:r>
    </w:p>
    <w:p w14:paraId="74334939" w14:textId="57AF3DBB" w:rsidR="00F76586" w:rsidRPr="005A2755" w:rsidRDefault="00F76586" w:rsidP="00F76586">
      <w:pPr>
        <w:spacing w:before="100" w:beforeAutospacing="1" w:after="100" w:afterAutospacing="1"/>
        <w:rPr>
          <w:rFonts w:eastAsia="Times New Roman"/>
        </w:rPr>
      </w:pPr>
      <w:r>
        <w:rPr>
          <w:rFonts w:ascii="Arial" w:hAnsi="Arial"/>
          <w:sz w:val="20"/>
          <w:szCs w:val="20"/>
        </w:rPr>
        <w:t>T</w:t>
      </w:r>
      <w:r w:rsidRPr="005A2755">
        <w:rPr>
          <w:rFonts w:ascii="ArialMT" w:eastAsia="Times New Roman" w:hAnsi="ArialMT"/>
          <w:sz w:val="20"/>
          <w:szCs w:val="20"/>
        </w:rPr>
        <w:t>oday, GSK and</w:t>
      </w:r>
      <w:r>
        <w:rPr>
          <w:rFonts w:ascii="ArialMT" w:eastAsia="Times New Roman" w:hAnsi="ArialMT"/>
          <w:sz w:val="20"/>
          <w:szCs w:val="20"/>
        </w:rPr>
        <w:t xml:space="preserve"> </w:t>
      </w:r>
      <w:r w:rsidR="00C40DC9">
        <w:rPr>
          <w:rFonts w:ascii="ArialMT" w:eastAsia="Times New Roman" w:hAnsi="ArialMT"/>
          <w:sz w:val="20"/>
          <w:szCs w:val="20"/>
        </w:rPr>
        <w:t>IAVI</w:t>
      </w:r>
      <w:r w:rsidRPr="005A2755">
        <w:rPr>
          <w:rFonts w:ascii="ArialMT" w:eastAsia="Times New Roman" w:hAnsi="ArialMT"/>
          <w:sz w:val="20"/>
          <w:szCs w:val="20"/>
        </w:rPr>
        <w:t xml:space="preserve"> reported that GSK’s M72/AS01</w:t>
      </w:r>
      <w:r w:rsidRPr="005A2755">
        <w:rPr>
          <w:rFonts w:ascii="ArialMT" w:eastAsia="Times New Roman" w:hAnsi="ArialMT"/>
          <w:sz w:val="12"/>
          <w:szCs w:val="12"/>
        </w:rPr>
        <w:t>E</w:t>
      </w:r>
      <w:r w:rsidR="00AD09C1" w:rsidRPr="008C71D5">
        <w:rPr>
          <w:rStyle w:val="FootnoteReference"/>
          <w:rFonts w:ascii="ArialMT" w:eastAsia="Times New Roman" w:hAnsi="ArialMT"/>
          <w:sz w:val="20"/>
          <w:szCs w:val="20"/>
        </w:rPr>
        <w:footnoteReference w:id="1"/>
      </w:r>
      <w:r w:rsidRPr="008C71D5">
        <w:rPr>
          <w:rFonts w:ascii="ArialMT" w:eastAsia="Times New Roman" w:hAnsi="ArialMT"/>
          <w:position w:val="6"/>
          <w:sz w:val="20"/>
          <w:szCs w:val="20"/>
        </w:rPr>
        <w:t xml:space="preserve"> </w:t>
      </w:r>
      <w:bookmarkStart w:id="1" w:name="_Hlk21618785"/>
      <w:r w:rsidRPr="005A2755">
        <w:rPr>
          <w:rFonts w:ascii="ArialMT" w:eastAsia="Times New Roman" w:hAnsi="ArialMT"/>
          <w:sz w:val="20"/>
          <w:szCs w:val="20"/>
        </w:rPr>
        <w:t>candidate vaccine significantly reduced the incidence of pulmonary tuberculosis disease</w:t>
      </w:r>
      <w:r>
        <w:rPr>
          <w:rFonts w:ascii="ArialMT" w:eastAsia="Times New Roman" w:hAnsi="ArialMT"/>
          <w:sz w:val="20"/>
          <w:szCs w:val="20"/>
        </w:rPr>
        <w:t xml:space="preserve"> (TB)</w:t>
      </w:r>
      <w:r w:rsidRPr="005A2755">
        <w:rPr>
          <w:rFonts w:ascii="ArialMT" w:eastAsia="Times New Roman" w:hAnsi="ArialMT"/>
          <w:sz w:val="20"/>
          <w:szCs w:val="20"/>
        </w:rPr>
        <w:t xml:space="preserve"> in HIV-negative adults with latent </w:t>
      </w:r>
      <w:r>
        <w:rPr>
          <w:rFonts w:ascii="ArialMT" w:eastAsia="Times New Roman" w:hAnsi="ArialMT"/>
          <w:sz w:val="20"/>
          <w:szCs w:val="20"/>
        </w:rPr>
        <w:t xml:space="preserve">TB </w:t>
      </w:r>
      <w:r w:rsidRPr="005A2755">
        <w:rPr>
          <w:rFonts w:ascii="ArialMT" w:eastAsia="Times New Roman" w:hAnsi="ArialMT"/>
          <w:sz w:val="20"/>
          <w:szCs w:val="20"/>
        </w:rPr>
        <w:t>infection</w:t>
      </w:r>
      <w:r w:rsidR="008C71D5">
        <w:rPr>
          <w:rStyle w:val="FootnoteReference"/>
          <w:rFonts w:ascii="ArialMT" w:eastAsia="Times New Roman" w:hAnsi="ArialMT"/>
          <w:sz w:val="20"/>
          <w:szCs w:val="20"/>
        </w:rPr>
        <w:footnoteReference w:id="2"/>
      </w:r>
      <w:r>
        <w:rPr>
          <w:rFonts w:ascii="ArialMT" w:eastAsia="Times New Roman" w:hAnsi="ArialMT"/>
          <w:sz w:val="20"/>
          <w:szCs w:val="20"/>
        </w:rPr>
        <w:t xml:space="preserve">. These results </w:t>
      </w:r>
      <w:r w:rsidRPr="005A2755">
        <w:rPr>
          <w:rFonts w:ascii="ArialMT" w:eastAsia="Times New Roman" w:hAnsi="ArialMT"/>
          <w:sz w:val="20"/>
          <w:szCs w:val="20"/>
        </w:rPr>
        <w:t>demonstrate an overall vaccine efficacy of 5</w:t>
      </w:r>
      <w:r>
        <w:rPr>
          <w:rFonts w:ascii="ArialMT" w:eastAsia="Times New Roman" w:hAnsi="ArialMT"/>
          <w:sz w:val="20"/>
          <w:szCs w:val="20"/>
        </w:rPr>
        <w:t>0</w:t>
      </w:r>
      <w:r w:rsidRPr="005A2755">
        <w:rPr>
          <w:rFonts w:ascii="ArialMT" w:eastAsia="Times New Roman" w:hAnsi="ArialMT"/>
          <w:sz w:val="20"/>
          <w:szCs w:val="20"/>
        </w:rPr>
        <w:t>%</w:t>
      </w:r>
      <w:r>
        <w:rPr>
          <w:rFonts w:ascii="ArialMT" w:eastAsia="Times New Roman" w:hAnsi="ArialMT"/>
          <w:sz w:val="20"/>
          <w:szCs w:val="20"/>
        </w:rPr>
        <w:t xml:space="preserve"> </w:t>
      </w:r>
      <w:r w:rsidR="00C552EE">
        <w:rPr>
          <w:rFonts w:ascii="ArialMT" w:eastAsia="Times New Roman" w:hAnsi="ArialMT"/>
          <w:sz w:val="20"/>
          <w:szCs w:val="20"/>
        </w:rPr>
        <w:t>during the</w:t>
      </w:r>
      <w:r>
        <w:rPr>
          <w:rFonts w:ascii="ArialMT" w:eastAsia="Times New Roman" w:hAnsi="ArialMT"/>
          <w:sz w:val="20"/>
          <w:szCs w:val="20"/>
        </w:rPr>
        <w:t xml:space="preserve"> three years after vaccination.</w:t>
      </w:r>
      <w:r w:rsidR="00C47AD2">
        <w:rPr>
          <w:rFonts w:ascii="ArialMT" w:eastAsia="Times New Roman" w:hAnsi="ArialMT"/>
          <w:sz w:val="20"/>
          <w:szCs w:val="20"/>
        </w:rPr>
        <w:t xml:space="preserve"> The candidate vaccine has</w:t>
      </w:r>
      <w:r w:rsidRPr="005A2755">
        <w:rPr>
          <w:rFonts w:ascii="ArialMT" w:eastAsia="Times New Roman" w:hAnsi="ArialMT"/>
          <w:sz w:val="20"/>
          <w:szCs w:val="20"/>
        </w:rPr>
        <w:t xml:space="preserve"> an acceptable safety and reactogenicity profile. </w:t>
      </w:r>
      <w:r>
        <w:rPr>
          <w:rFonts w:ascii="ArialMT" w:eastAsia="Times New Roman" w:hAnsi="ArialMT"/>
          <w:sz w:val="20"/>
          <w:szCs w:val="20"/>
        </w:rPr>
        <w:t xml:space="preserve">The final results are consistent with the primary analysis done after two years of follow-up and published in </w:t>
      </w:r>
      <w:r w:rsidRPr="00226FEC">
        <w:rPr>
          <w:rFonts w:ascii="ArialMT" w:eastAsia="Times New Roman" w:hAnsi="ArialMT"/>
          <w:i/>
          <w:sz w:val="20"/>
          <w:szCs w:val="20"/>
        </w:rPr>
        <w:t>New England Journal of Medicine</w:t>
      </w:r>
      <w:r>
        <w:rPr>
          <w:rFonts w:ascii="ArialMT" w:eastAsia="Times New Roman" w:hAnsi="ArialMT"/>
          <w:sz w:val="20"/>
          <w:szCs w:val="20"/>
        </w:rPr>
        <w:t xml:space="preserve"> in September 2018</w:t>
      </w:r>
      <w:bookmarkEnd w:id="1"/>
      <w:r>
        <w:rPr>
          <w:rFonts w:ascii="ArialMT" w:eastAsia="Times New Roman" w:hAnsi="ArialMT"/>
          <w:sz w:val="20"/>
          <w:szCs w:val="20"/>
        </w:rPr>
        <w:t>.</w:t>
      </w:r>
    </w:p>
    <w:p w14:paraId="6E8CFE13" w14:textId="41B3DD57" w:rsidR="00F76586" w:rsidRPr="005A2755" w:rsidRDefault="00F76586" w:rsidP="00F76586">
      <w:pPr>
        <w:spacing w:before="100" w:beforeAutospacing="1" w:after="100" w:afterAutospacing="1"/>
        <w:rPr>
          <w:rFonts w:eastAsia="Times New Roman"/>
        </w:rPr>
      </w:pPr>
      <w:r w:rsidRPr="005A2755">
        <w:rPr>
          <w:rFonts w:ascii="ArialMT" w:eastAsia="Times New Roman" w:hAnsi="ArialMT"/>
          <w:sz w:val="20"/>
          <w:szCs w:val="20"/>
        </w:rPr>
        <w:t>T</w:t>
      </w:r>
      <w:r>
        <w:rPr>
          <w:rFonts w:ascii="ArialMT" w:eastAsia="Times New Roman" w:hAnsi="ArialMT"/>
          <w:sz w:val="20"/>
          <w:szCs w:val="20"/>
        </w:rPr>
        <w:t>B</w:t>
      </w:r>
      <w:r w:rsidRPr="005A2755">
        <w:rPr>
          <w:rFonts w:ascii="ArialMT" w:eastAsia="Times New Roman" w:hAnsi="ArialMT"/>
          <w:sz w:val="20"/>
          <w:szCs w:val="20"/>
        </w:rPr>
        <w:t xml:space="preserve"> is the leading cause of death through infectious disease worldwide and represents a significant public health threat with 1.</w:t>
      </w:r>
      <w:r>
        <w:rPr>
          <w:rFonts w:ascii="ArialMT" w:eastAsia="Times New Roman" w:hAnsi="ArialMT"/>
          <w:sz w:val="20"/>
          <w:szCs w:val="20"/>
        </w:rPr>
        <w:t>5</w:t>
      </w:r>
      <w:r w:rsidRPr="005A2755">
        <w:rPr>
          <w:rFonts w:ascii="ArialMT" w:eastAsia="Times New Roman" w:hAnsi="ArialMT"/>
          <w:sz w:val="20"/>
          <w:szCs w:val="20"/>
        </w:rPr>
        <w:t xml:space="preserve"> million attributed deaths in 201</w:t>
      </w:r>
      <w:r>
        <w:rPr>
          <w:rFonts w:ascii="ArialMT" w:eastAsia="Times New Roman" w:hAnsi="ArialMT"/>
          <w:sz w:val="20"/>
          <w:szCs w:val="20"/>
        </w:rPr>
        <w:t>8</w:t>
      </w:r>
      <w:r w:rsidR="008C71D5">
        <w:rPr>
          <w:rStyle w:val="FootnoteReference"/>
          <w:rFonts w:ascii="ArialMT" w:eastAsia="Times New Roman" w:hAnsi="ArialMT"/>
          <w:sz w:val="20"/>
          <w:szCs w:val="20"/>
        </w:rPr>
        <w:footnoteReference w:id="3"/>
      </w:r>
      <w:r>
        <w:rPr>
          <w:rFonts w:ascii="ArialMT" w:eastAsia="Times New Roman" w:hAnsi="ArialMT"/>
          <w:sz w:val="20"/>
          <w:szCs w:val="20"/>
        </w:rPr>
        <w:t>.</w:t>
      </w:r>
      <w:r w:rsidRPr="005A2755">
        <w:rPr>
          <w:rFonts w:ascii="ArialMT" w:eastAsia="Times New Roman" w:hAnsi="ArialMT"/>
          <w:sz w:val="20"/>
          <w:szCs w:val="20"/>
        </w:rPr>
        <w:t xml:space="preserve"> It is estimated that one-quarter of the global population has latent </w:t>
      </w:r>
      <w:r>
        <w:rPr>
          <w:rFonts w:ascii="ArialMT" w:eastAsia="Times New Roman" w:hAnsi="ArialMT"/>
          <w:sz w:val="20"/>
          <w:szCs w:val="20"/>
        </w:rPr>
        <w:t xml:space="preserve">TB </w:t>
      </w:r>
      <w:r w:rsidRPr="005A2755">
        <w:rPr>
          <w:rFonts w:ascii="ArialMT" w:eastAsia="Times New Roman" w:hAnsi="ArialMT"/>
          <w:sz w:val="20"/>
          <w:szCs w:val="20"/>
        </w:rPr>
        <w:t xml:space="preserve">infection, of whom approximately 10% will develop active pulmonary </w:t>
      </w:r>
      <w:r>
        <w:rPr>
          <w:rFonts w:ascii="ArialMT" w:eastAsia="Times New Roman" w:hAnsi="ArialMT"/>
          <w:sz w:val="20"/>
          <w:szCs w:val="20"/>
        </w:rPr>
        <w:t>TB</w:t>
      </w:r>
      <w:r w:rsidRPr="005A2755">
        <w:rPr>
          <w:rFonts w:ascii="ArialMT" w:eastAsia="Times New Roman" w:hAnsi="ArialMT"/>
          <w:sz w:val="20"/>
          <w:szCs w:val="20"/>
        </w:rPr>
        <w:t xml:space="preserve"> disease. Currently, multi-drug resistant strains of </w:t>
      </w:r>
      <w:r>
        <w:rPr>
          <w:rFonts w:ascii="ArialMT" w:eastAsia="Times New Roman" w:hAnsi="ArialMT"/>
          <w:sz w:val="20"/>
          <w:szCs w:val="20"/>
        </w:rPr>
        <w:t xml:space="preserve">TB </w:t>
      </w:r>
      <w:r w:rsidRPr="005A2755">
        <w:rPr>
          <w:rFonts w:ascii="ArialMT" w:eastAsia="Times New Roman" w:hAnsi="ArialMT"/>
          <w:sz w:val="20"/>
          <w:szCs w:val="20"/>
        </w:rPr>
        <w:t xml:space="preserve">are emerging </w:t>
      </w:r>
      <w:r>
        <w:rPr>
          <w:rFonts w:ascii="ArialMT" w:eastAsia="Times New Roman" w:hAnsi="ArialMT"/>
          <w:sz w:val="20"/>
          <w:szCs w:val="20"/>
        </w:rPr>
        <w:t xml:space="preserve">and spreading </w:t>
      </w:r>
      <w:r w:rsidRPr="005A2755">
        <w:rPr>
          <w:rFonts w:ascii="ArialMT" w:eastAsia="Times New Roman" w:hAnsi="ArialMT"/>
          <w:sz w:val="20"/>
          <w:szCs w:val="20"/>
        </w:rPr>
        <w:t xml:space="preserve">globally, and the only available </w:t>
      </w:r>
      <w:r>
        <w:rPr>
          <w:rFonts w:ascii="ArialMT" w:eastAsia="Times New Roman" w:hAnsi="ArialMT"/>
          <w:sz w:val="20"/>
          <w:szCs w:val="20"/>
        </w:rPr>
        <w:t xml:space="preserve">TB </w:t>
      </w:r>
      <w:r w:rsidRPr="005A2755">
        <w:rPr>
          <w:rFonts w:ascii="ArialMT" w:eastAsia="Times New Roman" w:hAnsi="ArialMT"/>
          <w:sz w:val="20"/>
          <w:szCs w:val="20"/>
        </w:rPr>
        <w:t xml:space="preserve">vaccine, BCG, does not provide proven and consistent protection in adults in </w:t>
      </w:r>
      <w:r>
        <w:rPr>
          <w:rFonts w:ascii="ArialMT" w:eastAsia="Times New Roman" w:hAnsi="ArialMT"/>
          <w:sz w:val="20"/>
          <w:szCs w:val="20"/>
        </w:rPr>
        <w:t>TB-</w:t>
      </w:r>
      <w:r w:rsidRPr="005A2755">
        <w:rPr>
          <w:rFonts w:ascii="ArialMT" w:eastAsia="Times New Roman" w:hAnsi="ArialMT"/>
          <w:sz w:val="20"/>
          <w:szCs w:val="20"/>
        </w:rPr>
        <w:t>endemic countries</w:t>
      </w:r>
      <w:r w:rsidR="00445DA9">
        <w:rPr>
          <w:rStyle w:val="FootnoteReference"/>
          <w:rFonts w:ascii="ArialMT" w:eastAsia="Times New Roman" w:hAnsi="ArialMT"/>
          <w:sz w:val="20"/>
          <w:szCs w:val="20"/>
        </w:rPr>
        <w:footnoteReference w:id="4"/>
      </w:r>
      <w:r w:rsidRPr="005A2755">
        <w:rPr>
          <w:rFonts w:ascii="ArialMT" w:eastAsia="Times New Roman" w:hAnsi="ArialMT"/>
          <w:sz w:val="20"/>
          <w:szCs w:val="20"/>
        </w:rPr>
        <w:t xml:space="preserve">. Without a more effective vaccine, it will not be possible to achieve the </w:t>
      </w:r>
      <w:r>
        <w:rPr>
          <w:rFonts w:ascii="ArialMT" w:eastAsia="Times New Roman" w:hAnsi="ArialMT"/>
          <w:sz w:val="20"/>
          <w:szCs w:val="20"/>
        </w:rPr>
        <w:t xml:space="preserve">World Health Organization </w:t>
      </w:r>
      <w:r w:rsidRPr="005A2755">
        <w:rPr>
          <w:rFonts w:ascii="ArialMT" w:eastAsia="Times New Roman" w:hAnsi="ArialMT"/>
          <w:sz w:val="20"/>
          <w:szCs w:val="20"/>
        </w:rPr>
        <w:t xml:space="preserve">target of decreasing the number of new cases by 90% and the number of </w:t>
      </w:r>
      <w:r>
        <w:rPr>
          <w:rFonts w:ascii="ArialMT" w:eastAsia="Times New Roman" w:hAnsi="ArialMT"/>
          <w:sz w:val="20"/>
          <w:szCs w:val="20"/>
        </w:rPr>
        <w:t xml:space="preserve">TB </w:t>
      </w:r>
      <w:r w:rsidRPr="005A2755">
        <w:rPr>
          <w:rFonts w:ascii="ArialMT" w:eastAsia="Times New Roman" w:hAnsi="ArialMT"/>
          <w:sz w:val="20"/>
          <w:szCs w:val="20"/>
        </w:rPr>
        <w:t xml:space="preserve">deaths by 95% between 2015 and 2035. </w:t>
      </w:r>
    </w:p>
    <w:p w14:paraId="31FC0E2C" w14:textId="3F6CA57C" w:rsidR="00F76586" w:rsidRPr="00A908F3" w:rsidRDefault="00F76586" w:rsidP="00F76586">
      <w:pPr>
        <w:tabs>
          <w:tab w:val="left" w:pos="4118"/>
        </w:tabs>
        <w:rPr>
          <w:rFonts w:eastAsia="Times New Roman"/>
          <w:sz w:val="20"/>
          <w:szCs w:val="20"/>
        </w:rPr>
      </w:pPr>
      <w:r w:rsidRPr="00226FEC">
        <w:rPr>
          <w:rFonts w:ascii="ArialMT" w:eastAsia="Times New Roman" w:hAnsi="ArialMT"/>
          <w:sz w:val="20"/>
          <w:szCs w:val="20"/>
        </w:rPr>
        <w:t>Dr Thomas Breuer, Chief Medical Officer of GSK Vaccines, said: “</w:t>
      </w:r>
      <w:r w:rsidRPr="005B34C2">
        <w:rPr>
          <w:rFonts w:ascii="ArialMT" w:eastAsia="Times New Roman" w:hAnsi="ArialMT"/>
          <w:i/>
          <w:sz w:val="20"/>
          <w:szCs w:val="20"/>
        </w:rPr>
        <w:t xml:space="preserve">These results demonstrate that for the first time in almost a century, the global community potentially has a new tool to </w:t>
      </w:r>
      <w:r>
        <w:rPr>
          <w:rFonts w:ascii="ArialMT" w:eastAsia="Times New Roman" w:hAnsi="ArialMT"/>
          <w:i/>
          <w:sz w:val="20"/>
          <w:szCs w:val="20"/>
        </w:rPr>
        <w:t xml:space="preserve">help </w:t>
      </w:r>
      <w:r w:rsidRPr="005B34C2">
        <w:rPr>
          <w:rFonts w:ascii="ArialMT" w:eastAsia="Times New Roman" w:hAnsi="ArialMT"/>
          <w:i/>
          <w:sz w:val="20"/>
          <w:szCs w:val="20"/>
        </w:rPr>
        <w:t xml:space="preserve">provide protection against TB. </w:t>
      </w:r>
      <w:r w:rsidR="00832C30">
        <w:rPr>
          <w:rFonts w:ascii="ArialMT" w:eastAsia="Times New Roman" w:hAnsi="ArialMT"/>
          <w:i/>
          <w:sz w:val="20"/>
          <w:szCs w:val="20"/>
        </w:rPr>
        <w:t xml:space="preserve">I </w:t>
      </w:r>
      <w:r w:rsidR="00832C30" w:rsidRPr="00832C30">
        <w:rPr>
          <w:rFonts w:ascii="ArialMT" w:eastAsia="Times New Roman" w:hAnsi="ArialMT"/>
          <w:i/>
          <w:sz w:val="20"/>
          <w:szCs w:val="20"/>
        </w:rPr>
        <w:t>want to thank our scientists for their dedicated effort and scientific innovation in developing this impactful vaccine candidate in partnership with IAVI and other key</w:t>
      </w:r>
      <w:r w:rsidR="00832C30">
        <w:rPr>
          <w:rFonts w:ascii="ArialMT" w:eastAsia="Times New Roman" w:hAnsi="ArialMT"/>
          <w:i/>
          <w:sz w:val="20"/>
          <w:szCs w:val="20"/>
        </w:rPr>
        <w:t xml:space="preserve"> organisations</w:t>
      </w:r>
      <w:r w:rsidRPr="005B34C2">
        <w:rPr>
          <w:rFonts w:ascii="ArialMT" w:eastAsia="Times New Roman" w:hAnsi="ArialMT"/>
          <w:i/>
          <w:sz w:val="20"/>
          <w:szCs w:val="20"/>
        </w:rPr>
        <w:t>.</w:t>
      </w:r>
      <w:r w:rsidR="00FA4107">
        <w:rPr>
          <w:rFonts w:ascii="ArialMT" w:eastAsia="Times New Roman" w:hAnsi="ArialMT"/>
          <w:sz w:val="20"/>
          <w:szCs w:val="20"/>
        </w:rPr>
        <w:t>”</w:t>
      </w:r>
      <w:r>
        <w:rPr>
          <w:rFonts w:ascii="ArialMT" w:eastAsia="Times New Roman" w:hAnsi="ArialMT"/>
          <w:sz w:val="20"/>
          <w:szCs w:val="20"/>
        </w:rPr>
        <w:t xml:space="preserve"> </w:t>
      </w:r>
      <w:r w:rsidRPr="00226FEC">
        <w:rPr>
          <w:rFonts w:ascii="ArialMT" w:eastAsia="Times New Roman" w:hAnsi="ArialMT"/>
          <w:sz w:val="20"/>
          <w:szCs w:val="20"/>
        </w:rPr>
        <w:t xml:space="preserve">  </w:t>
      </w:r>
    </w:p>
    <w:p w14:paraId="1F9826B3" w14:textId="77777777" w:rsidR="00FA4107" w:rsidRDefault="00F76586" w:rsidP="00F76586">
      <w:pPr>
        <w:spacing w:before="100" w:beforeAutospacing="1" w:after="100" w:afterAutospacing="1"/>
        <w:rPr>
          <w:rFonts w:ascii="ArialMT" w:eastAsia="Times New Roman" w:hAnsi="ArialMT"/>
          <w:sz w:val="20"/>
          <w:szCs w:val="20"/>
        </w:rPr>
      </w:pPr>
      <w:r w:rsidRPr="005A2755">
        <w:rPr>
          <w:rFonts w:ascii="ArialMT" w:eastAsia="Times New Roman" w:hAnsi="ArialMT"/>
          <w:sz w:val="20"/>
          <w:szCs w:val="20"/>
        </w:rPr>
        <w:t xml:space="preserve">The trial </w:t>
      </w:r>
      <w:r>
        <w:rPr>
          <w:rFonts w:ascii="ArialMT" w:eastAsia="Times New Roman" w:hAnsi="ArialMT"/>
          <w:sz w:val="20"/>
          <w:szCs w:val="20"/>
        </w:rPr>
        <w:t>wa</w:t>
      </w:r>
      <w:r w:rsidRPr="005A2755">
        <w:rPr>
          <w:rFonts w:ascii="ArialMT" w:eastAsia="Times New Roman" w:hAnsi="ArialMT"/>
          <w:sz w:val="20"/>
          <w:szCs w:val="20"/>
        </w:rPr>
        <w:t xml:space="preserve">s conducted in </w:t>
      </w:r>
      <w:r>
        <w:rPr>
          <w:rFonts w:ascii="ArialMT" w:eastAsia="Times New Roman" w:hAnsi="ArialMT"/>
          <w:sz w:val="20"/>
          <w:szCs w:val="20"/>
        </w:rPr>
        <w:t>TB-</w:t>
      </w:r>
      <w:r w:rsidRPr="005A2755">
        <w:rPr>
          <w:rFonts w:ascii="ArialMT" w:eastAsia="Times New Roman" w:hAnsi="ArialMT"/>
          <w:sz w:val="20"/>
          <w:szCs w:val="20"/>
        </w:rPr>
        <w:t>endemic regions (Kenya, South Africa and Zambia) and involve</w:t>
      </w:r>
      <w:r>
        <w:rPr>
          <w:rFonts w:ascii="ArialMT" w:eastAsia="Times New Roman" w:hAnsi="ArialMT"/>
          <w:sz w:val="20"/>
          <w:szCs w:val="20"/>
        </w:rPr>
        <w:t>d</w:t>
      </w:r>
      <w:r w:rsidRPr="005A2755">
        <w:rPr>
          <w:rFonts w:ascii="ArialMT" w:eastAsia="Times New Roman" w:hAnsi="ArialMT"/>
          <w:sz w:val="20"/>
          <w:szCs w:val="20"/>
        </w:rPr>
        <w:t xml:space="preserve"> 3,573 HIV-negative adults</w:t>
      </w:r>
      <w:r>
        <w:rPr>
          <w:rFonts w:ascii="ArialMT" w:eastAsia="Times New Roman" w:hAnsi="ArialMT"/>
          <w:sz w:val="20"/>
          <w:szCs w:val="20"/>
        </w:rPr>
        <w:t xml:space="preserve"> between the ages of 18 and 50 years</w:t>
      </w:r>
      <w:r w:rsidRPr="005A2755">
        <w:rPr>
          <w:rFonts w:ascii="ArialMT" w:eastAsia="Times New Roman" w:hAnsi="ArialMT"/>
          <w:sz w:val="20"/>
          <w:szCs w:val="20"/>
        </w:rPr>
        <w:t xml:space="preserve">. </w:t>
      </w:r>
      <w:r>
        <w:rPr>
          <w:rFonts w:ascii="ArialMT" w:eastAsia="Times New Roman" w:hAnsi="ArialMT"/>
          <w:sz w:val="20"/>
          <w:szCs w:val="20"/>
        </w:rPr>
        <w:t>P</w:t>
      </w:r>
      <w:r w:rsidRPr="005A2755">
        <w:rPr>
          <w:rFonts w:ascii="ArialMT" w:eastAsia="Times New Roman" w:hAnsi="ArialMT"/>
          <w:sz w:val="20"/>
          <w:szCs w:val="20"/>
        </w:rPr>
        <w:t>articipants who received two doses of either M72/AS01</w:t>
      </w:r>
      <w:r w:rsidRPr="005A2755">
        <w:rPr>
          <w:rFonts w:ascii="ArialMT" w:eastAsia="Times New Roman" w:hAnsi="ArialMT"/>
          <w:sz w:val="12"/>
          <w:szCs w:val="12"/>
        </w:rPr>
        <w:t xml:space="preserve">E </w:t>
      </w:r>
      <w:r w:rsidRPr="005A2755">
        <w:rPr>
          <w:rFonts w:ascii="ArialMT" w:eastAsia="Times New Roman" w:hAnsi="ArialMT"/>
          <w:sz w:val="20"/>
          <w:szCs w:val="20"/>
        </w:rPr>
        <w:t xml:space="preserve">or placebo 30 days apart </w:t>
      </w:r>
      <w:r>
        <w:rPr>
          <w:rFonts w:ascii="ArialMT" w:eastAsia="Times New Roman" w:hAnsi="ArialMT"/>
          <w:sz w:val="20"/>
          <w:szCs w:val="20"/>
        </w:rPr>
        <w:t>were</w:t>
      </w:r>
      <w:r w:rsidRPr="005A2755">
        <w:rPr>
          <w:rFonts w:ascii="ArialMT" w:eastAsia="Times New Roman" w:hAnsi="ArialMT"/>
          <w:sz w:val="20"/>
          <w:szCs w:val="20"/>
        </w:rPr>
        <w:t xml:space="preserve"> followed for </w:t>
      </w:r>
      <w:r>
        <w:rPr>
          <w:rFonts w:ascii="ArialMT" w:eastAsia="Times New Roman" w:hAnsi="ArialMT"/>
          <w:sz w:val="20"/>
          <w:szCs w:val="20"/>
        </w:rPr>
        <w:t>three</w:t>
      </w:r>
      <w:r w:rsidRPr="005A2755">
        <w:rPr>
          <w:rFonts w:ascii="ArialMT" w:eastAsia="Times New Roman" w:hAnsi="ArialMT"/>
          <w:sz w:val="20"/>
          <w:szCs w:val="20"/>
        </w:rPr>
        <w:t xml:space="preserve"> years to detect evidence of pulmonary tuberculosis disease. In the </w:t>
      </w:r>
      <w:r>
        <w:rPr>
          <w:rFonts w:ascii="ArialMT" w:eastAsia="Times New Roman" w:hAnsi="ArialMT"/>
          <w:sz w:val="20"/>
          <w:szCs w:val="20"/>
        </w:rPr>
        <w:t>final analysis</w:t>
      </w:r>
      <w:r w:rsidRPr="005A2755">
        <w:rPr>
          <w:rFonts w:ascii="ArialMT" w:eastAsia="Times New Roman" w:hAnsi="ArialMT"/>
          <w:sz w:val="20"/>
          <w:szCs w:val="20"/>
        </w:rPr>
        <w:t>, 1</w:t>
      </w:r>
      <w:r>
        <w:rPr>
          <w:rFonts w:ascii="ArialMT" w:eastAsia="Times New Roman" w:hAnsi="ArialMT"/>
          <w:sz w:val="20"/>
          <w:szCs w:val="20"/>
        </w:rPr>
        <w:t>3</w:t>
      </w:r>
      <w:r w:rsidRPr="005A2755">
        <w:rPr>
          <w:rFonts w:ascii="ArialMT" w:eastAsia="Times New Roman" w:hAnsi="ArialMT"/>
          <w:sz w:val="20"/>
          <w:szCs w:val="20"/>
        </w:rPr>
        <w:t xml:space="preserve"> participants </w:t>
      </w:r>
      <w:r>
        <w:rPr>
          <w:rFonts w:ascii="ArialMT" w:eastAsia="Times New Roman" w:hAnsi="ArialMT"/>
          <w:sz w:val="20"/>
          <w:szCs w:val="20"/>
        </w:rPr>
        <w:t xml:space="preserve">in the vaccine group </w:t>
      </w:r>
      <w:r w:rsidRPr="005A2755">
        <w:rPr>
          <w:rFonts w:ascii="ArialMT" w:eastAsia="Times New Roman" w:hAnsi="ArialMT"/>
          <w:sz w:val="20"/>
          <w:szCs w:val="20"/>
        </w:rPr>
        <w:t>developed active pulmonary tuberculosis compared to 2</w:t>
      </w:r>
      <w:r>
        <w:rPr>
          <w:rFonts w:ascii="ArialMT" w:eastAsia="Times New Roman" w:hAnsi="ArialMT"/>
          <w:sz w:val="20"/>
          <w:szCs w:val="20"/>
        </w:rPr>
        <w:t>6</w:t>
      </w:r>
      <w:r w:rsidRPr="005A2755">
        <w:rPr>
          <w:rFonts w:ascii="ArialMT" w:eastAsia="Times New Roman" w:hAnsi="ArialMT"/>
          <w:sz w:val="20"/>
          <w:szCs w:val="20"/>
        </w:rPr>
        <w:t xml:space="preserve"> participants in the placebo group. </w:t>
      </w:r>
      <w:r>
        <w:rPr>
          <w:rFonts w:ascii="ArialMT" w:eastAsia="Times New Roman" w:hAnsi="ArialMT"/>
          <w:sz w:val="20"/>
          <w:szCs w:val="20"/>
        </w:rPr>
        <w:t xml:space="preserve">Among participants </w:t>
      </w:r>
      <w:r>
        <w:rPr>
          <w:rFonts w:ascii="ArialMT" w:eastAsia="Times New Roman" w:hAnsi="ArialMT"/>
          <w:sz w:val="20"/>
          <w:szCs w:val="20"/>
        </w:rPr>
        <w:lastRenderedPageBreak/>
        <w:t xml:space="preserve">who received the vaccine, an increased M72-specific immune response was sustained through three years. </w:t>
      </w:r>
      <w:r w:rsidR="00FA4107">
        <w:rPr>
          <w:rFonts w:ascii="ArialMT" w:eastAsia="Times New Roman" w:hAnsi="ArialMT"/>
          <w:sz w:val="20"/>
          <w:szCs w:val="20"/>
        </w:rPr>
        <w:t xml:space="preserve"> </w:t>
      </w:r>
    </w:p>
    <w:p w14:paraId="19BE4CA8" w14:textId="72CEC58A" w:rsidR="00F76586" w:rsidRPr="005A2755" w:rsidRDefault="00C552EE" w:rsidP="00F76586">
      <w:pPr>
        <w:spacing w:before="100" w:beforeAutospacing="1" w:after="100" w:afterAutospacing="1"/>
        <w:rPr>
          <w:rFonts w:eastAsia="Times New Roman"/>
        </w:rPr>
      </w:pPr>
      <w:r>
        <w:rPr>
          <w:rFonts w:ascii="ArialMT" w:eastAsia="Times New Roman" w:hAnsi="ArialMT"/>
          <w:sz w:val="20"/>
          <w:szCs w:val="20"/>
        </w:rPr>
        <w:t xml:space="preserve">Dr. Mark Feinberg, President and CEO of IAVI, </w:t>
      </w:r>
      <w:r w:rsidR="00F76586" w:rsidRPr="005A2755">
        <w:rPr>
          <w:rFonts w:ascii="ArialMT" w:eastAsia="Times New Roman" w:hAnsi="ArialMT"/>
          <w:sz w:val="20"/>
          <w:szCs w:val="20"/>
        </w:rPr>
        <w:t>said: “</w:t>
      </w:r>
      <w:r w:rsidR="00F76586" w:rsidRPr="00F8601D">
        <w:rPr>
          <w:rFonts w:ascii="ArialMT" w:eastAsia="Times New Roman" w:hAnsi="ArialMT"/>
          <w:i/>
          <w:sz w:val="20"/>
          <w:szCs w:val="20"/>
        </w:rPr>
        <w:t>These final results show that M72/AS01</w:t>
      </w:r>
      <w:r w:rsidR="00F76586" w:rsidRPr="00F8601D">
        <w:rPr>
          <w:rFonts w:ascii="ArialMT" w:eastAsia="Times New Roman" w:hAnsi="ArialMT"/>
          <w:i/>
          <w:sz w:val="20"/>
          <w:szCs w:val="20"/>
          <w:vertAlign w:val="subscript"/>
        </w:rPr>
        <w:t>E</w:t>
      </w:r>
      <w:r w:rsidR="00F76586" w:rsidRPr="00F8601D">
        <w:rPr>
          <w:rFonts w:ascii="ArialMT" w:eastAsia="Times New Roman" w:hAnsi="ArialMT"/>
          <w:i/>
          <w:sz w:val="20"/>
          <w:szCs w:val="20"/>
        </w:rPr>
        <w:t xml:space="preserve"> could be an important tool in the fight against pulmonary tuberculosis. While additional trials need to be conducted to confirm these findings in other populations, we have never before seen a vaccine that provides protection in adults who are already infected with the bacteria that cause tuberculosis</w:t>
      </w:r>
      <w:r w:rsidR="00F76586">
        <w:rPr>
          <w:rFonts w:ascii="ArialMT" w:eastAsia="Times New Roman" w:hAnsi="ArialMT"/>
          <w:sz w:val="20"/>
          <w:szCs w:val="20"/>
        </w:rPr>
        <w:t>.”</w:t>
      </w:r>
    </w:p>
    <w:p w14:paraId="3DF444F7" w14:textId="4C28D424" w:rsidR="00F76586" w:rsidRPr="005A2755" w:rsidRDefault="00F76586" w:rsidP="00F76586">
      <w:pPr>
        <w:spacing w:before="100" w:beforeAutospacing="1" w:after="100" w:afterAutospacing="1"/>
        <w:rPr>
          <w:rFonts w:eastAsia="Times New Roman"/>
        </w:rPr>
      </w:pPr>
      <w:r w:rsidRPr="005A2755">
        <w:rPr>
          <w:rFonts w:ascii="Arial" w:eastAsia="Times New Roman" w:hAnsi="Arial" w:cs="Arial"/>
          <w:b/>
          <w:bCs/>
          <w:sz w:val="20"/>
          <w:szCs w:val="20"/>
        </w:rPr>
        <w:t xml:space="preserve">About the study </w:t>
      </w:r>
    </w:p>
    <w:p w14:paraId="5F067D0A" w14:textId="77777777" w:rsidR="00F76586" w:rsidRPr="005A2755" w:rsidRDefault="00F76586" w:rsidP="00F76586">
      <w:pPr>
        <w:spacing w:before="100" w:beforeAutospacing="1" w:after="100" w:afterAutospacing="1"/>
        <w:rPr>
          <w:rFonts w:eastAsia="Times New Roman"/>
        </w:rPr>
      </w:pPr>
      <w:r w:rsidRPr="005A2755">
        <w:rPr>
          <w:rFonts w:ascii="ArialMT" w:eastAsia="Times New Roman" w:hAnsi="ArialMT"/>
          <w:sz w:val="20"/>
          <w:szCs w:val="20"/>
        </w:rPr>
        <w:t xml:space="preserve">The study </w:t>
      </w:r>
      <w:r>
        <w:rPr>
          <w:rFonts w:ascii="ArialMT" w:eastAsia="Times New Roman" w:hAnsi="ArialMT"/>
          <w:sz w:val="20"/>
          <w:szCs w:val="20"/>
        </w:rPr>
        <w:t>wa</w:t>
      </w:r>
      <w:r w:rsidRPr="005A2755">
        <w:rPr>
          <w:rFonts w:ascii="ArialMT" w:eastAsia="Times New Roman" w:hAnsi="ArialMT"/>
          <w:sz w:val="20"/>
          <w:szCs w:val="20"/>
        </w:rPr>
        <w:t>s sponsored</w:t>
      </w:r>
      <w:r>
        <w:rPr>
          <w:rFonts w:ascii="ArialMT" w:eastAsia="Times New Roman" w:hAnsi="ArialMT"/>
          <w:sz w:val="20"/>
          <w:szCs w:val="20"/>
        </w:rPr>
        <w:t xml:space="preserve"> by </w:t>
      </w:r>
      <w:r w:rsidRPr="005A2755">
        <w:rPr>
          <w:rFonts w:ascii="ArialMT" w:eastAsia="Times New Roman" w:hAnsi="ArialMT"/>
          <w:sz w:val="20"/>
          <w:szCs w:val="20"/>
        </w:rPr>
        <w:t xml:space="preserve">GSK and conducted in partnership with </w:t>
      </w:r>
      <w:r>
        <w:rPr>
          <w:rFonts w:ascii="ArialMT" w:eastAsia="Times New Roman" w:hAnsi="ArialMT"/>
          <w:sz w:val="20"/>
          <w:szCs w:val="20"/>
        </w:rPr>
        <w:t>IAVI</w:t>
      </w:r>
      <w:r w:rsidRPr="005A2755">
        <w:rPr>
          <w:rFonts w:ascii="ArialMT" w:eastAsia="Times New Roman" w:hAnsi="ArialMT"/>
          <w:sz w:val="20"/>
          <w:szCs w:val="20"/>
        </w:rPr>
        <w:t xml:space="preserve">. Funders of </w:t>
      </w:r>
      <w:r>
        <w:rPr>
          <w:rFonts w:ascii="ArialMT" w:eastAsia="Times New Roman" w:hAnsi="ArialMT"/>
          <w:sz w:val="20"/>
          <w:szCs w:val="20"/>
        </w:rPr>
        <w:t>IAVI</w:t>
      </w:r>
      <w:r w:rsidRPr="005A2755">
        <w:rPr>
          <w:rFonts w:ascii="ArialMT" w:eastAsia="Times New Roman" w:hAnsi="ArialMT"/>
          <w:sz w:val="20"/>
          <w:szCs w:val="20"/>
        </w:rPr>
        <w:t xml:space="preserve"> for this study </w:t>
      </w:r>
      <w:r>
        <w:rPr>
          <w:rFonts w:ascii="ArialMT" w:eastAsia="Times New Roman" w:hAnsi="ArialMT"/>
          <w:sz w:val="20"/>
          <w:szCs w:val="20"/>
        </w:rPr>
        <w:t>we</w:t>
      </w:r>
      <w:r w:rsidRPr="005A2755">
        <w:rPr>
          <w:rFonts w:ascii="ArialMT" w:eastAsia="Times New Roman" w:hAnsi="ArialMT"/>
          <w:sz w:val="20"/>
          <w:szCs w:val="20"/>
        </w:rPr>
        <w:t xml:space="preserve">re the Bill &amp; Melinda Gates Foundation, the United Kingdom’s Department for International Development, the Directorate General for International Cooperation in the Netherlands, and the Australian Agency for International Development. </w:t>
      </w:r>
    </w:p>
    <w:p w14:paraId="3A064C77" w14:textId="4138624A" w:rsidR="00F76586" w:rsidRPr="00120B47" w:rsidRDefault="00F76586" w:rsidP="00F76586">
      <w:pPr>
        <w:spacing w:before="100" w:beforeAutospacing="1" w:after="100" w:afterAutospacing="1"/>
        <w:rPr>
          <w:rFonts w:eastAsia="Times New Roman"/>
        </w:rPr>
      </w:pPr>
      <w:r w:rsidRPr="005A2755">
        <w:rPr>
          <w:rFonts w:ascii="ArialMT" w:eastAsia="Times New Roman" w:hAnsi="ArialMT"/>
          <w:sz w:val="20"/>
          <w:szCs w:val="20"/>
        </w:rPr>
        <w:t xml:space="preserve">This study </w:t>
      </w:r>
      <w:r>
        <w:rPr>
          <w:rFonts w:ascii="ArialMT" w:eastAsia="Times New Roman" w:hAnsi="ArialMT"/>
          <w:sz w:val="20"/>
          <w:szCs w:val="20"/>
        </w:rPr>
        <w:t>wa</w:t>
      </w:r>
      <w:r w:rsidRPr="005A2755">
        <w:rPr>
          <w:rFonts w:ascii="ArialMT" w:eastAsia="Times New Roman" w:hAnsi="ArialMT"/>
          <w:sz w:val="20"/>
          <w:szCs w:val="20"/>
        </w:rPr>
        <w:t xml:space="preserve">s a </w:t>
      </w:r>
      <w:r>
        <w:rPr>
          <w:rFonts w:ascii="ArialMT" w:eastAsia="Times New Roman" w:hAnsi="ArialMT"/>
          <w:sz w:val="20"/>
          <w:szCs w:val="20"/>
        </w:rPr>
        <w:t>p</w:t>
      </w:r>
      <w:r w:rsidRPr="005A2755">
        <w:rPr>
          <w:rFonts w:ascii="ArialMT" w:eastAsia="Times New Roman" w:hAnsi="ArialMT"/>
          <w:sz w:val="20"/>
          <w:szCs w:val="20"/>
        </w:rPr>
        <w:t xml:space="preserve">hase IIb, multicentre, randomized, double-blind, placebo-controlled study </w:t>
      </w:r>
      <w:r>
        <w:rPr>
          <w:rFonts w:ascii="ArialMT" w:eastAsia="Times New Roman" w:hAnsi="ArialMT"/>
          <w:sz w:val="20"/>
          <w:szCs w:val="20"/>
        </w:rPr>
        <w:t>comparing the candidate vaccine M72/AS01</w:t>
      </w:r>
      <w:r w:rsidRPr="00226FEC">
        <w:rPr>
          <w:rFonts w:ascii="ArialMT" w:eastAsia="Times New Roman" w:hAnsi="ArialMT"/>
          <w:sz w:val="20"/>
          <w:szCs w:val="20"/>
          <w:vertAlign w:val="subscript"/>
        </w:rPr>
        <w:t>E</w:t>
      </w:r>
      <w:r>
        <w:rPr>
          <w:rFonts w:ascii="ArialMT" w:eastAsia="Times New Roman" w:hAnsi="ArialMT"/>
          <w:sz w:val="20"/>
          <w:szCs w:val="20"/>
        </w:rPr>
        <w:t xml:space="preserve"> to a placebo in a 1:1 ratio. It wa</w:t>
      </w:r>
      <w:r w:rsidRPr="005A2755">
        <w:rPr>
          <w:rFonts w:ascii="ArialMT" w:eastAsia="Times New Roman" w:hAnsi="ArialMT"/>
          <w:sz w:val="20"/>
          <w:szCs w:val="20"/>
        </w:rPr>
        <w:t>s conducted in tuberculosis</w:t>
      </w:r>
      <w:r>
        <w:rPr>
          <w:rFonts w:ascii="ArialMT" w:eastAsia="Times New Roman" w:hAnsi="ArialMT"/>
          <w:sz w:val="20"/>
          <w:szCs w:val="20"/>
        </w:rPr>
        <w:t>-</w:t>
      </w:r>
      <w:r w:rsidRPr="005A2755">
        <w:rPr>
          <w:rFonts w:ascii="ArialMT" w:eastAsia="Times New Roman" w:hAnsi="ArialMT"/>
          <w:sz w:val="20"/>
          <w:szCs w:val="20"/>
        </w:rPr>
        <w:t xml:space="preserve">endemic regions, at 11 sites in </w:t>
      </w:r>
      <w:r>
        <w:rPr>
          <w:rFonts w:ascii="ArialMT" w:eastAsia="Times New Roman" w:hAnsi="ArialMT"/>
          <w:sz w:val="20"/>
          <w:szCs w:val="20"/>
        </w:rPr>
        <w:t xml:space="preserve">Kenya, </w:t>
      </w:r>
      <w:r w:rsidRPr="005A2755">
        <w:rPr>
          <w:rFonts w:ascii="ArialMT" w:eastAsia="Times New Roman" w:hAnsi="ArialMT"/>
          <w:sz w:val="20"/>
          <w:szCs w:val="20"/>
        </w:rPr>
        <w:t>South</w:t>
      </w:r>
      <w:r>
        <w:rPr>
          <w:rFonts w:ascii="ArialMT" w:eastAsia="Times New Roman" w:hAnsi="ArialMT"/>
          <w:sz w:val="20"/>
          <w:szCs w:val="20"/>
        </w:rPr>
        <w:t xml:space="preserve"> </w:t>
      </w:r>
      <w:r w:rsidRPr="005A2755">
        <w:rPr>
          <w:rFonts w:ascii="ArialMT" w:eastAsia="Times New Roman" w:hAnsi="ArialMT"/>
          <w:sz w:val="20"/>
          <w:szCs w:val="20"/>
        </w:rPr>
        <w:t>Africa</w:t>
      </w:r>
      <w:r>
        <w:rPr>
          <w:rFonts w:ascii="ArialMT" w:eastAsia="Times New Roman" w:hAnsi="ArialMT"/>
          <w:sz w:val="20"/>
          <w:szCs w:val="20"/>
        </w:rPr>
        <w:t xml:space="preserve"> and</w:t>
      </w:r>
      <w:r w:rsidRPr="005A2755">
        <w:rPr>
          <w:rFonts w:ascii="ArialMT" w:eastAsia="Times New Roman" w:hAnsi="ArialMT"/>
          <w:sz w:val="20"/>
          <w:szCs w:val="20"/>
        </w:rPr>
        <w:t xml:space="preserve"> Zambia</w:t>
      </w:r>
      <w:r w:rsidR="008C71D5">
        <w:rPr>
          <w:rStyle w:val="FootnoteReference"/>
          <w:rFonts w:ascii="ArialMT" w:eastAsia="Times New Roman" w:hAnsi="ArialMT"/>
          <w:sz w:val="20"/>
          <w:szCs w:val="20"/>
        </w:rPr>
        <w:footnoteReference w:id="5"/>
      </w:r>
      <w:r w:rsidRPr="005A2755">
        <w:rPr>
          <w:rFonts w:ascii="ArialMT" w:eastAsia="Times New Roman" w:hAnsi="ArialMT"/>
          <w:position w:val="6"/>
          <w:sz w:val="14"/>
          <w:szCs w:val="14"/>
        </w:rPr>
        <w:t xml:space="preserve"> </w:t>
      </w:r>
      <w:r w:rsidRPr="005A2755">
        <w:rPr>
          <w:rFonts w:ascii="ArialMT" w:eastAsia="Times New Roman" w:hAnsi="ArialMT"/>
          <w:sz w:val="20"/>
          <w:szCs w:val="20"/>
        </w:rPr>
        <w:t>(</w:t>
      </w:r>
      <w:r w:rsidRPr="005A2755">
        <w:rPr>
          <w:rFonts w:ascii="ArialMT" w:eastAsia="Times New Roman" w:hAnsi="ArialMT"/>
          <w:color w:val="0000FF"/>
          <w:sz w:val="20"/>
          <w:szCs w:val="20"/>
        </w:rPr>
        <w:t xml:space="preserve">www.clinicaltrials.gov </w:t>
      </w:r>
      <w:r w:rsidRPr="005A2755">
        <w:rPr>
          <w:rFonts w:ascii="ArialMT" w:eastAsia="Times New Roman" w:hAnsi="ArialMT"/>
          <w:sz w:val="20"/>
          <w:szCs w:val="20"/>
        </w:rPr>
        <w:t>NCT01755598)</w:t>
      </w:r>
      <w:r>
        <w:rPr>
          <w:rFonts w:ascii="ArialMT" w:eastAsia="Times New Roman" w:hAnsi="ArialMT"/>
          <w:sz w:val="20"/>
          <w:szCs w:val="20"/>
        </w:rPr>
        <w:t>.</w:t>
      </w:r>
      <w:r w:rsidRPr="005A2755">
        <w:rPr>
          <w:rFonts w:ascii="ArialMT" w:eastAsia="Times New Roman" w:hAnsi="ArialMT"/>
          <w:sz w:val="20"/>
          <w:szCs w:val="20"/>
        </w:rPr>
        <w:t xml:space="preserve"> The primary objective of the study </w:t>
      </w:r>
      <w:r>
        <w:rPr>
          <w:rFonts w:ascii="ArialMT" w:eastAsia="Times New Roman" w:hAnsi="ArialMT"/>
          <w:sz w:val="20"/>
          <w:szCs w:val="20"/>
        </w:rPr>
        <w:t>wa</w:t>
      </w:r>
      <w:r w:rsidRPr="005A2755">
        <w:rPr>
          <w:rFonts w:ascii="ArialMT" w:eastAsia="Times New Roman" w:hAnsi="ArialMT"/>
          <w:sz w:val="20"/>
          <w:szCs w:val="20"/>
        </w:rPr>
        <w:t>s to investigate if the M72/AS01</w:t>
      </w:r>
      <w:r w:rsidRPr="005A2755">
        <w:rPr>
          <w:rFonts w:ascii="ArialMT" w:eastAsia="Times New Roman" w:hAnsi="ArialMT"/>
          <w:sz w:val="12"/>
          <w:szCs w:val="12"/>
        </w:rPr>
        <w:t xml:space="preserve">E </w:t>
      </w:r>
      <w:r w:rsidRPr="005A2755">
        <w:rPr>
          <w:rFonts w:ascii="ArialMT" w:eastAsia="Times New Roman" w:hAnsi="ArialMT"/>
          <w:sz w:val="20"/>
          <w:szCs w:val="20"/>
        </w:rPr>
        <w:t>candidate vaccine prevent</w:t>
      </w:r>
      <w:r>
        <w:rPr>
          <w:rFonts w:ascii="ArialMT" w:eastAsia="Times New Roman" w:hAnsi="ArialMT"/>
          <w:sz w:val="20"/>
          <w:szCs w:val="20"/>
        </w:rPr>
        <w:t>s</w:t>
      </w:r>
      <w:r w:rsidRPr="005A2755">
        <w:rPr>
          <w:rFonts w:ascii="ArialMT" w:eastAsia="Times New Roman" w:hAnsi="ArialMT"/>
          <w:sz w:val="20"/>
          <w:szCs w:val="20"/>
        </w:rPr>
        <w:t xml:space="preserve"> adults with latent </w:t>
      </w:r>
      <w:r w:rsidRPr="005A2755">
        <w:rPr>
          <w:rFonts w:ascii="Arial" w:eastAsia="Times New Roman" w:hAnsi="Arial" w:cs="Arial"/>
          <w:i/>
          <w:iCs/>
          <w:sz w:val="20"/>
          <w:szCs w:val="20"/>
        </w:rPr>
        <w:t xml:space="preserve">Mycobacterium tuberculosis </w:t>
      </w:r>
      <w:r w:rsidRPr="005A2755">
        <w:rPr>
          <w:rFonts w:ascii="ArialMT" w:eastAsia="Times New Roman" w:hAnsi="ArialMT"/>
          <w:sz w:val="20"/>
          <w:szCs w:val="20"/>
        </w:rPr>
        <w:t xml:space="preserve">infection from developing </w:t>
      </w:r>
      <w:r>
        <w:rPr>
          <w:rFonts w:ascii="ArialMT" w:eastAsia="Times New Roman" w:hAnsi="ArialMT"/>
          <w:sz w:val="20"/>
          <w:szCs w:val="20"/>
        </w:rPr>
        <w:t xml:space="preserve">pulmonary </w:t>
      </w:r>
      <w:r w:rsidRPr="00120B47">
        <w:rPr>
          <w:rFonts w:ascii="ArialMT" w:eastAsia="Times New Roman" w:hAnsi="ArialMT"/>
          <w:sz w:val="20"/>
          <w:szCs w:val="20"/>
        </w:rPr>
        <w:t>tuberculosis disease. The study also evaluated the safety, reactogenicity and immunogenicity of the M72/AS01</w:t>
      </w:r>
      <w:r w:rsidRPr="00120B47">
        <w:rPr>
          <w:rFonts w:ascii="ArialMT" w:eastAsia="Times New Roman" w:hAnsi="ArialMT"/>
          <w:sz w:val="12"/>
          <w:szCs w:val="12"/>
        </w:rPr>
        <w:t xml:space="preserve">E </w:t>
      </w:r>
      <w:r w:rsidRPr="00120B47">
        <w:rPr>
          <w:rFonts w:ascii="ArialMT" w:eastAsia="Times New Roman" w:hAnsi="ArialMT"/>
          <w:sz w:val="20"/>
          <w:szCs w:val="20"/>
        </w:rPr>
        <w:t xml:space="preserve">candidate vaccine. </w:t>
      </w:r>
    </w:p>
    <w:p w14:paraId="1EB04BE5" w14:textId="77777777" w:rsidR="00F76586" w:rsidRPr="005A2755" w:rsidRDefault="00F76586" w:rsidP="00F76586">
      <w:pPr>
        <w:spacing w:before="100" w:beforeAutospacing="1" w:after="100" w:afterAutospacing="1"/>
        <w:rPr>
          <w:rFonts w:eastAsia="Times New Roman"/>
        </w:rPr>
      </w:pPr>
      <w:r w:rsidRPr="00120B47">
        <w:rPr>
          <w:rFonts w:ascii="ArialMT" w:eastAsia="Times New Roman" w:hAnsi="ArialMT"/>
          <w:sz w:val="20"/>
          <w:szCs w:val="20"/>
        </w:rPr>
        <w:t xml:space="preserve">The primary results of this study were published in September 2018 in the </w:t>
      </w:r>
      <w:r w:rsidRPr="00120B47">
        <w:rPr>
          <w:rFonts w:ascii="Arial" w:eastAsia="Times New Roman" w:hAnsi="Arial" w:cs="Arial"/>
          <w:i/>
          <w:iCs/>
          <w:sz w:val="20"/>
          <w:szCs w:val="20"/>
        </w:rPr>
        <w:t xml:space="preserve">New England Journal of Medicine </w:t>
      </w:r>
      <w:r w:rsidRPr="00120B47">
        <w:rPr>
          <w:rFonts w:ascii="ArialMT" w:eastAsia="Times New Roman" w:hAnsi="ArialMT"/>
          <w:sz w:val="20"/>
          <w:szCs w:val="20"/>
        </w:rPr>
        <w:t>(DOI: NEJMdo005415). The primary analysis was performed while the study team remained blinded to individual trial group assignment, whereas the final analysis was now performed under fully unblinded conditions. The study’s final results confirmed the previously reported clinically acceptable safety profile of M72/AS0</w:t>
      </w:r>
      <w:r w:rsidRPr="00120B47">
        <w:rPr>
          <w:rFonts w:ascii="ArialMT" w:eastAsia="Times New Roman" w:hAnsi="ArialMT"/>
          <w:sz w:val="22"/>
          <w:szCs w:val="22"/>
        </w:rPr>
        <w:t>1</w:t>
      </w:r>
      <w:r w:rsidRPr="00120B47">
        <w:rPr>
          <w:rFonts w:ascii="ArialMT" w:eastAsia="Times New Roman" w:hAnsi="ArialMT"/>
          <w:sz w:val="12"/>
          <w:szCs w:val="12"/>
        </w:rPr>
        <w:t>E.</w:t>
      </w:r>
      <w:r w:rsidRPr="00120B47">
        <w:rPr>
          <w:rFonts w:ascii="ArialMT" w:eastAsia="Times New Roman" w:hAnsi="ArialMT"/>
          <w:sz w:val="20"/>
          <w:szCs w:val="20"/>
        </w:rPr>
        <w:t xml:space="preserve"> No</w:t>
      </w:r>
      <w:r>
        <w:rPr>
          <w:rFonts w:ascii="ArialMT" w:eastAsia="Times New Roman" w:hAnsi="ArialMT"/>
          <w:sz w:val="20"/>
          <w:szCs w:val="20"/>
        </w:rPr>
        <w:t xml:space="preserve"> patterns were evident in the extended follow-up in terms of occurrence or nature of s</w:t>
      </w:r>
      <w:r w:rsidRPr="005A2755">
        <w:rPr>
          <w:rFonts w:ascii="ArialMT" w:eastAsia="Times New Roman" w:hAnsi="ArialMT"/>
          <w:sz w:val="20"/>
          <w:szCs w:val="20"/>
        </w:rPr>
        <w:t xml:space="preserve">erious adverse events, </w:t>
      </w:r>
      <w:r>
        <w:rPr>
          <w:rFonts w:ascii="ArialMT" w:eastAsia="Times New Roman" w:hAnsi="ArialMT"/>
          <w:sz w:val="20"/>
          <w:szCs w:val="20"/>
        </w:rPr>
        <w:t xml:space="preserve">fatal events or </w:t>
      </w:r>
      <w:r w:rsidRPr="005A2755">
        <w:rPr>
          <w:rFonts w:ascii="ArialMT" w:eastAsia="Times New Roman" w:hAnsi="ArialMT"/>
          <w:sz w:val="20"/>
          <w:szCs w:val="20"/>
        </w:rPr>
        <w:t xml:space="preserve">potential immune-mediated diseases </w:t>
      </w:r>
      <w:r>
        <w:rPr>
          <w:rFonts w:ascii="ArialMT" w:eastAsia="Times New Roman" w:hAnsi="ArialMT"/>
          <w:sz w:val="20"/>
          <w:szCs w:val="20"/>
        </w:rPr>
        <w:t xml:space="preserve">over the study period. </w:t>
      </w:r>
    </w:p>
    <w:p w14:paraId="6C5C61C9" w14:textId="77777777" w:rsidR="00F76586" w:rsidRPr="005A2755" w:rsidRDefault="00F76586" w:rsidP="00F76586">
      <w:pPr>
        <w:spacing w:before="100" w:beforeAutospacing="1" w:after="100" w:afterAutospacing="1"/>
        <w:rPr>
          <w:rFonts w:eastAsia="Times New Roman"/>
        </w:rPr>
      </w:pPr>
      <w:r w:rsidRPr="005A2755">
        <w:rPr>
          <w:rFonts w:ascii="ArialMT" w:eastAsia="Times New Roman" w:hAnsi="ArialMT"/>
          <w:sz w:val="20"/>
          <w:szCs w:val="20"/>
        </w:rPr>
        <w:t xml:space="preserve">Nearly all participants (99%) in the study consented to enter into a biobanking study sponsored by </w:t>
      </w:r>
      <w:r>
        <w:rPr>
          <w:rFonts w:ascii="ArialMT" w:eastAsia="Times New Roman" w:hAnsi="ArialMT"/>
          <w:sz w:val="20"/>
          <w:szCs w:val="20"/>
        </w:rPr>
        <w:t>IAVI</w:t>
      </w:r>
      <w:r w:rsidRPr="005A2755">
        <w:rPr>
          <w:rFonts w:ascii="ArialMT" w:eastAsia="Times New Roman" w:hAnsi="ArialMT"/>
          <w:sz w:val="20"/>
          <w:szCs w:val="20"/>
        </w:rPr>
        <w:t xml:space="preserve">. The samples collected during this study will allow researchers to further investigate the potential vaccine-induced mechanisms of protection against tuberculosis and attempt to identify markers that indicate those </w:t>
      </w:r>
      <w:r>
        <w:rPr>
          <w:rFonts w:ascii="ArialMT" w:eastAsia="Times New Roman" w:hAnsi="ArialMT"/>
          <w:sz w:val="20"/>
          <w:szCs w:val="20"/>
        </w:rPr>
        <w:t xml:space="preserve">who are protected by vaccine </w:t>
      </w:r>
      <w:r w:rsidRPr="005A2755">
        <w:rPr>
          <w:rFonts w:ascii="ArialMT" w:eastAsia="Times New Roman" w:hAnsi="ArialMT"/>
          <w:sz w:val="20"/>
          <w:szCs w:val="20"/>
        </w:rPr>
        <w:t>(</w:t>
      </w:r>
      <w:r w:rsidRPr="005A2755">
        <w:rPr>
          <w:rFonts w:ascii="ArialMT" w:eastAsia="Times New Roman" w:hAnsi="ArialMT"/>
          <w:color w:val="0000FF"/>
          <w:sz w:val="20"/>
          <w:szCs w:val="20"/>
        </w:rPr>
        <w:t xml:space="preserve">www.clinicaltrials.gov </w:t>
      </w:r>
      <w:r w:rsidRPr="005A2755">
        <w:rPr>
          <w:rFonts w:ascii="ArialMT" w:eastAsia="Times New Roman" w:hAnsi="ArialMT"/>
          <w:sz w:val="20"/>
          <w:szCs w:val="20"/>
        </w:rPr>
        <w:t xml:space="preserve">NCT02097095). </w:t>
      </w:r>
    </w:p>
    <w:p w14:paraId="2F2054CE" w14:textId="77777777" w:rsidR="00F76586" w:rsidRPr="005A2755" w:rsidRDefault="00F76586" w:rsidP="00F76586">
      <w:pPr>
        <w:spacing w:before="100" w:beforeAutospacing="1" w:after="100" w:afterAutospacing="1"/>
        <w:rPr>
          <w:rFonts w:eastAsia="Times New Roman"/>
        </w:rPr>
      </w:pPr>
      <w:r w:rsidRPr="005A2755">
        <w:rPr>
          <w:rFonts w:ascii="Arial" w:eastAsia="Times New Roman" w:hAnsi="Arial" w:cs="Arial"/>
          <w:b/>
          <w:bCs/>
          <w:sz w:val="20"/>
          <w:szCs w:val="20"/>
        </w:rPr>
        <w:t xml:space="preserve">About the candidate vaccine </w:t>
      </w:r>
    </w:p>
    <w:p w14:paraId="06623530" w14:textId="77777777" w:rsidR="00F76586" w:rsidRPr="005A2755" w:rsidRDefault="00F76586" w:rsidP="00F76586">
      <w:pPr>
        <w:spacing w:before="100" w:beforeAutospacing="1" w:after="100" w:afterAutospacing="1"/>
        <w:rPr>
          <w:rFonts w:eastAsia="Times New Roman"/>
        </w:rPr>
      </w:pPr>
      <w:r w:rsidRPr="005A2755">
        <w:rPr>
          <w:rFonts w:ascii="ArialMT" w:eastAsia="Times New Roman" w:hAnsi="ArialMT"/>
          <w:sz w:val="20"/>
          <w:szCs w:val="20"/>
        </w:rPr>
        <w:t>GSK’s M72/AS0</w:t>
      </w:r>
      <w:r w:rsidRPr="005A2755">
        <w:rPr>
          <w:rFonts w:ascii="ArialMT" w:eastAsia="Times New Roman" w:hAnsi="ArialMT"/>
          <w:sz w:val="22"/>
          <w:szCs w:val="22"/>
        </w:rPr>
        <w:t>1</w:t>
      </w:r>
      <w:r w:rsidRPr="005A2755">
        <w:rPr>
          <w:rFonts w:ascii="ArialMT" w:eastAsia="Times New Roman" w:hAnsi="ArialMT"/>
          <w:sz w:val="12"/>
          <w:szCs w:val="12"/>
        </w:rPr>
        <w:t xml:space="preserve">E </w:t>
      </w:r>
      <w:r w:rsidRPr="005A2755">
        <w:rPr>
          <w:rFonts w:ascii="ArialMT" w:eastAsia="Times New Roman" w:hAnsi="ArialMT"/>
          <w:sz w:val="20"/>
          <w:szCs w:val="20"/>
        </w:rPr>
        <w:t>candidate vaccine contains the M72 recombinant fusion protein</w:t>
      </w:r>
      <w:r>
        <w:rPr>
          <w:rFonts w:ascii="ArialMT" w:eastAsia="Times New Roman" w:hAnsi="ArialMT"/>
          <w:sz w:val="20"/>
          <w:szCs w:val="20"/>
        </w:rPr>
        <w:t>,</w:t>
      </w:r>
      <w:r w:rsidRPr="005A2755">
        <w:rPr>
          <w:rFonts w:ascii="ArialMT" w:eastAsia="Times New Roman" w:hAnsi="ArialMT"/>
          <w:sz w:val="20"/>
          <w:szCs w:val="20"/>
        </w:rPr>
        <w:t xml:space="preserve"> derived from two </w:t>
      </w:r>
      <w:r w:rsidRPr="005A2755">
        <w:rPr>
          <w:rFonts w:ascii="Arial" w:eastAsia="Times New Roman" w:hAnsi="Arial" w:cs="Arial"/>
          <w:i/>
          <w:iCs/>
          <w:sz w:val="20"/>
          <w:szCs w:val="20"/>
        </w:rPr>
        <w:t xml:space="preserve">Mycobacterium tuberculosis </w:t>
      </w:r>
      <w:r w:rsidRPr="005A2755">
        <w:rPr>
          <w:rFonts w:ascii="ArialMT" w:eastAsia="Times New Roman" w:hAnsi="ArialMT"/>
          <w:sz w:val="20"/>
          <w:szCs w:val="20"/>
        </w:rPr>
        <w:t xml:space="preserve">antigens (Mtb32A and Mtb39A), combined with the Adjuvant System AS01, which is also a component of GSK’s </w:t>
      </w:r>
      <w:proofErr w:type="gramStart"/>
      <w:r w:rsidRPr="005A2755">
        <w:rPr>
          <w:rFonts w:ascii="ArialMT" w:eastAsia="Times New Roman" w:hAnsi="ArialMT"/>
          <w:sz w:val="20"/>
          <w:szCs w:val="20"/>
        </w:rPr>
        <w:t>RTS,S</w:t>
      </w:r>
      <w:proofErr w:type="gramEnd"/>
      <w:r>
        <w:rPr>
          <w:rFonts w:ascii="ArialMT" w:eastAsia="Times New Roman" w:hAnsi="ArialMT"/>
          <w:sz w:val="20"/>
          <w:szCs w:val="20"/>
        </w:rPr>
        <w:t xml:space="preserve"> malaria vaccine  </w:t>
      </w:r>
      <w:r w:rsidRPr="005A2755">
        <w:rPr>
          <w:rFonts w:ascii="ArialMT" w:eastAsia="Times New Roman" w:hAnsi="ArialMT"/>
          <w:sz w:val="20"/>
          <w:szCs w:val="20"/>
        </w:rPr>
        <w:t>and vaccine</w:t>
      </w:r>
      <w:r>
        <w:rPr>
          <w:rFonts w:ascii="ArialMT" w:eastAsia="Times New Roman" w:hAnsi="ArialMT"/>
          <w:sz w:val="20"/>
          <w:szCs w:val="20"/>
        </w:rPr>
        <w:t xml:space="preserve"> against shingles, </w:t>
      </w:r>
      <w:r w:rsidRPr="006554EA">
        <w:rPr>
          <w:rFonts w:ascii="ArialMT" w:eastAsia="Times New Roman" w:hAnsi="ArialMT"/>
          <w:i/>
          <w:sz w:val="20"/>
          <w:szCs w:val="20"/>
        </w:rPr>
        <w:t>Shingrix</w:t>
      </w:r>
      <w:r w:rsidRPr="005A2755">
        <w:rPr>
          <w:rFonts w:ascii="ArialMT" w:eastAsia="Times New Roman" w:hAnsi="ArialMT"/>
          <w:sz w:val="20"/>
          <w:szCs w:val="20"/>
        </w:rPr>
        <w:t xml:space="preserve">. </w:t>
      </w:r>
    </w:p>
    <w:p w14:paraId="392298D1" w14:textId="77777777" w:rsidR="008C71D5" w:rsidRDefault="00F76586" w:rsidP="00F76586">
      <w:pPr>
        <w:spacing w:before="100" w:beforeAutospacing="1" w:after="100" w:afterAutospacing="1"/>
        <w:rPr>
          <w:rFonts w:ascii="Arial" w:eastAsia="Times New Roman" w:hAnsi="Arial" w:cs="Arial"/>
          <w:b/>
          <w:bCs/>
          <w:sz w:val="20"/>
          <w:szCs w:val="20"/>
        </w:rPr>
      </w:pPr>
      <w:r w:rsidRPr="005A2755">
        <w:rPr>
          <w:rFonts w:ascii="Arial" w:eastAsia="Times New Roman" w:hAnsi="Arial" w:cs="Arial"/>
          <w:b/>
          <w:bCs/>
          <w:sz w:val="20"/>
          <w:szCs w:val="20"/>
        </w:rPr>
        <w:t xml:space="preserve">About tuberculosis </w:t>
      </w:r>
    </w:p>
    <w:p w14:paraId="72538CA3" w14:textId="093BBB27" w:rsidR="00F76586" w:rsidRDefault="00F76586" w:rsidP="00F76586">
      <w:pPr>
        <w:spacing w:before="100" w:beforeAutospacing="1" w:after="100" w:afterAutospacing="1"/>
        <w:rPr>
          <w:rFonts w:ascii="ArialMT" w:eastAsia="Times New Roman" w:hAnsi="ArialMT"/>
          <w:sz w:val="20"/>
          <w:szCs w:val="20"/>
        </w:rPr>
      </w:pPr>
      <w:r w:rsidRPr="005A2755">
        <w:rPr>
          <w:rFonts w:ascii="ArialMT" w:eastAsia="Times New Roman" w:hAnsi="ArialMT"/>
          <w:sz w:val="20"/>
          <w:szCs w:val="20"/>
        </w:rPr>
        <w:t xml:space="preserve">One-quarter of the global population is estimated </w:t>
      </w:r>
      <w:r>
        <w:rPr>
          <w:rFonts w:ascii="ArialMT" w:eastAsia="Times New Roman" w:hAnsi="ArialMT"/>
          <w:sz w:val="20"/>
          <w:szCs w:val="20"/>
        </w:rPr>
        <w:t xml:space="preserve">to </w:t>
      </w:r>
      <w:r w:rsidRPr="005A2755">
        <w:rPr>
          <w:rFonts w:ascii="ArialMT" w:eastAsia="Times New Roman" w:hAnsi="ArialMT"/>
          <w:sz w:val="20"/>
          <w:szCs w:val="20"/>
        </w:rPr>
        <w:t>ha</w:t>
      </w:r>
      <w:r>
        <w:rPr>
          <w:rFonts w:ascii="ArialMT" w:eastAsia="Times New Roman" w:hAnsi="ArialMT"/>
          <w:sz w:val="20"/>
          <w:szCs w:val="20"/>
        </w:rPr>
        <w:t>ve</w:t>
      </w:r>
      <w:r w:rsidRPr="005A2755">
        <w:rPr>
          <w:rFonts w:ascii="ArialMT" w:eastAsia="Times New Roman" w:hAnsi="ArialMT"/>
          <w:sz w:val="20"/>
          <w:szCs w:val="20"/>
        </w:rPr>
        <w:t xml:space="preserve"> latent tuberculosis</w:t>
      </w:r>
      <w:r>
        <w:rPr>
          <w:rFonts w:ascii="ArialMT" w:eastAsia="Times New Roman" w:hAnsi="ArialMT"/>
          <w:sz w:val="20"/>
          <w:szCs w:val="20"/>
        </w:rPr>
        <w:t xml:space="preserve"> infection</w:t>
      </w:r>
      <w:r w:rsidRPr="005A2755">
        <w:rPr>
          <w:rFonts w:ascii="ArialMT" w:eastAsia="Times New Roman" w:hAnsi="ArialMT"/>
          <w:sz w:val="20"/>
          <w:szCs w:val="20"/>
        </w:rPr>
        <w:t>, and tuberculosis is the leading infectious cause of death worldwide</w:t>
      </w:r>
      <w:r w:rsidRPr="005A2755">
        <w:rPr>
          <w:rFonts w:ascii="ArialMT" w:eastAsia="Times New Roman" w:hAnsi="ArialMT"/>
          <w:sz w:val="22"/>
          <w:szCs w:val="22"/>
        </w:rPr>
        <w:t xml:space="preserve">. </w:t>
      </w:r>
      <w:r w:rsidRPr="005A2755">
        <w:rPr>
          <w:rFonts w:ascii="ArialMT" w:eastAsia="Times New Roman" w:hAnsi="ArialMT"/>
          <w:sz w:val="20"/>
          <w:szCs w:val="20"/>
        </w:rPr>
        <w:t>There were an estimated 10 million new tuberculosis cases and 1.</w:t>
      </w:r>
      <w:r>
        <w:rPr>
          <w:rFonts w:ascii="ArialMT" w:eastAsia="Times New Roman" w:hAnsi="ArialMT"/>
          <w:sz w:val="20"/>
          <w:szCs w:val="20"/>
        </w:rPr>
        <w:t>5</w:t>
      </w:r>
      <w:r w:rsidRPr="005A2755">
        <w:rPr>
          <w:rFonts w:ascii="ArialMT" w:eastAsia="Times New Roman" w:hAnsi="ArialMT"/>
          <w:sz w:val="20"/>
          <w:szCs w:val="20"/>
        </w:rPr>
        <w:t xml:space="preserve"> million deaths attributed to tuberculosis in 201</w:t>
      </w:r>
      <w:r>
        <w:rPr>
          <w:rFonts w:ascii="ArialMT" w:eastAsia="Times New Roman" w:hAnsi="ArialMT"/>
          <w:sz w:val="20"/>
          <w:szCs w:val="20"/>
        </w:rPr>
        <w:t>8</w:t>
      </w:r>
      <w:r w:rsidR="008C71D5">
        <w:rPr>
          <w:rStyle w:val="FootnoteReference"/>
          <w:rFonts w:ascii="ArialMT" w:eastAsia="Times New Roman" w:hAnsi="ArialMT"/>
          <w:sz w:val="20"/>
          <w:szCs w:val="20"/>
        </w:rPr>
        <w:footnoteReference w:id="6"/>
      </w:r>
      <w:r w:rsidR="008C71D5" w:rsidRPr="008C71D5">
        <w:rPr>
          <w:rFonts w:ascii="ArialMT" w:eastAsia="Times New Roman" w:hAnsi="ArialMT"/>
          <w:sz w:val="20"/>
          <w:szCs w:val="20"/>
          <w:vertAlign w:val="superscript"/>
        </w:rPr>
        <w:t>,</w:t>
      </w:r>
      <w:r w:rsidR="008C71D5">
        <w:rPr>
          <w:rStyle w:val="FootnoteReference"/>
          <w:rFonts w:ascii="ArialMT" w:eastAsia="Times New Roman" w:hAnsi="ArialMT"/>
          <w:sz w:val="20"/>
          <w:szCs w:val="20"/>
        </w:rPr>
        <w:footnoteReference w:id="7"/>
      </w:r>
      <w:r w:rsidRPr="005A2755">
        <w:rPr>
          <w:rFonts w:ascii="ArialMT" w:eastAsia="Times New Roman" w:hAnsi="ArialMT"/>
          <w:sz w:val="20"/>
          <w:szCs w:val="20"/>
        </w:rPr>
        <w:t xml:space="preserve">. </w:t>
      </w:r>
      <w:r>
        <w:rPr>
          <w:rFonts w:ascii="ArialMT" w:eastAsia="Times New Roman" w:hAnsi="ArialMT"/>
          <w:sz w:val="20"/>
          <w:szCs w:val="20"/>
        </w:rPr>
        <w:t>P</w:t>
      </w:r>
      <w:r w:rsidRPr="005A2755">
        <w:rPr>
          <w:rFonts w:ascii="ArialMT" w:eastAsia="Times New Roman" w:hAnsi="ArialMT"/>
          <w:sz w:val="20"/>
          <w:szCs w:val="20"/>
        </w:rPr>
        <w:t>ulmonary tuberculosis</w:t>
      </w:r>
      <w:r>
        <w:rPr>
          <w:rFonts w:ascii="ArialMT" w:eastAsia="Times New Roman" w:hAnsi="ArialMT"/>
          <w:sz w:val="20"/>
          <w:szCs w:val="20"/>
        </w:rPr>
        <w:t>,</w:t>
      </w:r>
      <w:r w:rsidRPr="005A2755">
        <w:rPr>
          <w:rFonts w:ascii="ArialMT" w:eastAsia="Times New Roman" w:hAnsi="ArialMT"/>
          <w:sz w:val="20"/>
          <w:szCs w:val="20"/>
        </w:rPr>
        <w:t xml:space="preserve"> which </w:t>
      </w:r>
      <w:r>
        <w:rPr>
          <w:rFonts w:ascii="ArialMT" w:eastAsia="Times New Roman" w:hAnsi="ArialMT"/>
          <w:sz w:val="20"/>
          <w:szCs w:val="20"/>
        </w:rPr>
        <w:t xml:space="preserve">involves the lung, </w:t>
      </w:r>
      <w:r w:rsidRPr="005A2755">
        <w:rPr>
          <w:rFonts w:ascii="ArialMT" w:eastAsia="Times New Roman" w:hAnsi="ArialMT"/>
          <w:sz w:val="20"/>
          <w:szCs w:val="20"/>
        </w:rPr>
        <w:t xml:space="preserve">is responsible for the </w:t>
      </w:r>
      <w:r>
        <w:rPr>
          <w:rFonts w:ascii="ArialMT" w:eastAsia="Times New Roman" w:hAnsi="ArialMT"/>
          <w:sz w:val="20"/>
          <w:szCs w:val="20"/>
        </w:rPr>
        <w:t>spread of the disease from person-to-person</w:t>
      </w:r>
      <w:r w:rsidRPr="005A2755">
        <w:rPr>
          <w:rFonts w:ascii="ArialMT" w:eastAsia="Times New Roman" w:hAnsi="ArialMT"/>
          <w:sz w:val="20"/>
          <w:szCs w:val="20"/>
        </w:rPr>
        <w:t xml:space="preserve">. An effective vaccine against tuberculosis </w:t>
      </w:r>
      <w:r>
        <w:rPr>
          <w:rFonts w:ascii="ArialMT" w:eastAsia="Times New Roman" w:hAnsi="ArialMT"/>
          <w:sz w:val="20"/>
          <w:szCs w:val="20"/>
        </w:rPr>
        <w:t xml:space="preserve">administered in adolescents and adults </w:t>
      </w:r>
      <w:r w:rsidRPr="005A2755">
        <w:rPr>
          <w:rFonts w:ascii="ArialMT" w:eastAsia="Times New Roman" w:hAnsi="ArialMT"/>
          <w:sz w:val="20"/>
          <w:szCs w:val="20"/>
        </w:rPr>
        <w:t xml:space="preserve">would have </w:t>
      </w:r>
      <w:r w:rsidRPr="005A2755">
        <w:rPr>
          <w:rFonts w:ascii="ArialMT" w:eastAsia="Times New Roman" w:hAnsi="ArialMT"/>
          <w:sz w:val="20"/>
          <w:szCs w:val="20"/>
        </w:rPr>
        <w:lastRenderedPageBreak/>
        <w:t>a marked impact on tuberculosis control, including drug-resistant tuberculosis, through interruption of transmission</w:t>
      </w:r>
      <w:r w:rsidR="008C71D5" w:rsidRPr="00C552EE">
        <w:rPr>
          <w:rStyle w:val="FootnoteReference"/>
          <w:rFonts w:ascii="ArialMT" w:eastAsia="Times New Roman" w:hAnsi="ArialMT"/>
          <w:sz w:val="20"/>
          <w:szCs w:val="20"/>
        </w:rPr>
        <w:footnoteReference w:id="8"/>
      </w:r>
      <w:r w:rsidR="008C71D5" w:rsidRPr="00C552EE">
        <w:rPr>
          <w:rFonts w:ascii="ArialMT" w:eastAsia="Times New Roman" w:hAnsi="ArialMT"/>
          <w:sz w:val="20"/>
          <w:szCs w:val="20"/>
          <w:vertAlign w:val="superscript"/>
        </w:rPr>
        <w:t>,</w:t>
      </w:r>
      <w:r w:rsidR="008C71D5">
        <w:rPr>
          <w:rStyle w:val="FootnoteReference"/>
          <w:rFonts w:ascii="ArialMT" w:eastAsia="Times New Roman" w:hAnsi="ArialMT"/>
          <w:sz w:val="20"/>
          <w:szCs w:val="20"/>
        </w:rPr>
        <w:footnoteReference w:id="9"/>
      </w:r>
      <w:r w:rsidRPr="005A2755">
        <w:rPr>
          <w:rFonts w:ascii="ArialMT" w:eastAsia="Times New Roman" w:hAnsi="ArialMT"/>
          <w:sz w:val="22"/>
          <w:szCs w:val="22"/>
        </w:rPr>
        <w:t xml:space="preserve">, </w:t>
      </w:r>
      <w:r w:rsidRPr="005A2755">
        <w:rPr>
          <w:rFonts w:ascii="ArialMT" w:eastAsia="Times New Roman" w:hAnsi="ArialMT"/>
          <w:sz w:val="20"/>
          <w:szCs w:val="20"/>
        </w:rPr>
        <w:t>and it would help achieve the WHO target of ending the tuberculosis epidemic by 2035</w:t>
      </w:r>
      <w:r w:rsidRPr="005A2755">
        <w:rPr>
          <w:rFonts w:ascii="ArialMT" w:eastAsia="Times New Roman" w:hAnsi="ArialMT"/>
          <w:sz w:val="22"/>
          <w:szCs w:val="22"/>
        </w:rPr>
        <w:t xml:space="preserve">. </w:t>
      </w:r>
      <w:r w:rsidRPr="005A2755">
        <w:rPr>
          <w:rFonts w:ascii="ArialMT" w:eastAsia="Times New Roman" w:hAnsi="ArialMT"/>
          <w:sz w:val="20"/>
          <w:szCs w:val="20"/>
        </w:rPr>
        <w:t xml:space="preserve"> </w:t>
      </w:r>
    </w:p>
    <w:p w14:paraId="26AB37F8" w14:textId="5148D8B0" w:rsidR="00F76586" w:rsidRPr="008C71D5" w:rsidRDefault="008C71D5" w:rsidP="00F76586">
      <w:pPr>
        <w:spacing w:before="100" w:beforeAutospacing="1" w:after="100" w:afterAutospacing="1"/>
        <w:rPr>
          <w:rFonts w:ascii="Arial" w:eastAsia="Times New Roman" w:hAnsi="Arial" w:cs="Arial"/>
          <w:b/>
          <w:bCs/>
        </w:rPr>
      </w:pPr>
      <w:r w:rsidRPr="008C71D5">
        <w:rPr>
          <w:rFonts w:ascii="Arial" w:eastAsia="Times New Roman" w:hAnsi="Arial" w:cs="Arial"/>
          <w:b/>
          <w:bCs/>
        </w:rPr>
        <w:t>A</w:t>
      </w:r>
      <w:r w:rsidR="00F76586" w:rsidRPr="008C71D5">
        <w:rPr>
          <w:rFonts w:ascii="Arial" w:eastAsia="Times New Roman" w:hAnsi="Arial" w:cs="Arial"/>
          <w:b/>
          <w:bCs/>
        </w:rPr>
        <w:t xml:space="preserve">bout IAVI </w:t>
      </w:r>
    </w:p>
    <w:p w14:paraId="33221EBD" w14:textId="4907F739" w:rsidR="00BB165B" w:rsidRPr="008C71D5" w:rsidRDefault="00F76586" w:rsidP="00F76586">
      <w:pPr>
        <w:rPr>
          <w:rFonts w:ascii="Arial" w:eastAsia="Times New Roman" w:hAnsi="Arial" w:cs="Arial"/>
          <w:color w:val="000000"/>
        </w:rPr>
      </w:pPr>
      <w:r w:rsidRPr="008C71D5">
        <w:rPr>
          <w:rFonts w:ascii="Arial" w:eastAsia="Times New Roman" w:hAnsi="Arial" w:cs="Arial"/>
          <w:color w:val="000000"/>
        </w:rPr>
        <w:t>IAVI is a nonprofit scientific research organization dedicated to addressing urgent, unmet global health challenges including HIV and tuberculosis. Our mission is to translate scientific discoveries into affordable, globally accessible public health solutions. Read more at </w:t>
      </w:r>
      <w:r w:rsidRPr="008C71D5">
        <w:rPr>
          <w:rFonts w:ascii="Arial" w:eastAsia="Times New Roman" w:hAnsi="Arial" w:cs="Arial"/>
          <w:color w:val="954F72"/>
          <w:u w:val="single"/>
        </w:rPr>
        <w:t>iavi.org</w:t>
      </w:r>
      <w:r w:rsidRPr="008C71D5">
        <w:rPr>
          <w:rFonts w:ascii="Arial" w:eastAsia="Times New Roman" w:hAnsi="Arial" w:cs="Arial"/>
          <w:color w:val="000000"/>
        </w:rPr>
        <w:t>.</w:t>
      </w:r>
    </w:p>
    <w:tbl>
      <w:tblPr>
        <w:tblW w:w="4992" w:type="pct"/>
        <w:tblLayout w:type="fixed"/>
        <w:tblLook w:val="0000" w:firstRow="0" w:lastRow="0" w:firstColumn="0" w:lastColumn="0" w:noHBand="0" w:noVBand="0"/>
      </w:tblPr>
      <w:tblGrid>
        <w:gridCol w:w="2559"/>
        <w:gridCol w:w="2078"/>
        <w:gridCol w:w="2403"/>
        <w:gridCol w:w="1972"/>
      </w:tblGrid>
      <w:tr w:rsidR="00BB165B" w:rsidRPr="00FD38F7" w14:paraId="2324DAF8" w14:textId="77777777" w:rsidTr="00BB165B">
        <w:trPr>
          <w:trHeight w:val="446"/>
        </w:trPr>
        <w:tc>
          <w:tcPr>
            <w:tcW w:w="2559" w:type="dxa"/>
            <w:vAlign w:val="center"/>
          </w:tcPr>
          <w:p w14:paraId="0A68E414" w14:textId="77777777" w:rsidR="00BB165B" w:rsidRDefault="00BB165B" w:rsidP="009D5440">
            <w:pPr>
              <w:spacing w:line="360" w:lineRule="auto"/>
              <w:rPr>
                <w:rStyle w:val="PR-SubHeadingtitleChar"/>
                <w:rFonts w:ascii="Arial" w:hAnsi="Arial" w:cs="Arial"/>
                <w:color w:val="544F40"/>
                <w:sz w:val="20"/>
                <w:szCs w:val="20"/>
              </w:rPr>
            </w:pPr>
          </w:p>
          <w:p w14:paraId="750289A9" w14:textId="0D51AA0D" w:rsidR="00BB165B" w:rsidRPr="00FD38F7" w:rsidRDefault="00BB165B" w:rsidP="009D5440">
            <w:pPr>
              <w:spacing w:line="360" w:lineRule="auto"/>
              <w:rPr>
                <w:rFonts w:ascii="Arial" w:hAnsi="Arial" w:cs="Arial"/>
                <w:color w:val="544F40"/>
                <w:sz w:val="18"/>
                <w:szCs w:val="18"/>
              </w:rPr>
            </w:pPr>
            <w:r>
              <w:rPr>
                <w:rStyle w:val="PR-SubHeadingtitleChar"/>
                <w:rFonts w:ascii="Arial" w:hAnsi="Arial" w:cs="Arial"/>
                <w:color w:val="544F40"/>
                <w:sz w:val="20"/>
                <w:szCs w:val="20"/>
              </w:rPr>
              <w:t>IAVI</w:t>
            </w:r>
            <w:r w:rsidRPr="00FD38F7">
              <w:rPr>
                <w:rStyle w:val="PR-SubHeadingtitleChar"/>
                <w:rFonts w:ascii="Arial" w:hAnsi="Arial" w:cs="Arial"/>
                <w:color w:val="544F40"/>
                <w:sz w:val="20"/>
                <w:szCs w:val="20"/>
              </w:rPr>
              <w:t xml:space="preserve"> enquiries:</w:t>
            </w:r>
          </w:p>
        </w:tc>
        <w:tc>
          <w:tcPr>
            <w:tcW w:w="2078" w:type="dxa"/>
            <w:vAlign w:val="center"/>
          </w:tcPr>
          <w:p w14:paraId="7D6813A6" w14:textId="77777777" w:rsidR="00BB165B" w:rsidRPr="00FD38F7" w:rsidRDefault="00BB165B" w:rsidP="009D5440">
            <w:pPr>
              <w:spacing w:line="360" w:lineRule="auto"/>
              <w:rPr>
                <w:rFonts w:ascii="Arial" w:hAnsi="Arial" w:cs="Arial"/>
                <w:color w:val="544F40"/>
                <w:sz w:val="18"/>
                <w:szCs w:val="18"/>
              </w:rPr>
            </w:pPr>
          </w:p>
        </w:tc>
        <w:tc>
          <w:tcPr>
            <w:tcW w:w="2403" w:type="dxa"/>
            <w:vAlign w:val="center"/>
          </w:tcPr>
          <w:p w14:paraId="1CC6BFDE" w14:textId="77777777" w:rsidR="00BB165B" w:rsidRPr="00FD38F7" w:rsidRDefault="00BB165B" w:rsidP="009D5440">
            <w:pPr>
              <w:pStyle w:val="Tabletext9"/>
              <w:overflowPunct/>
              <w:autoSpaceDE/>
              <w:autoSpaceDN/>
              <w:adjustRightInd/>
              <w:spacing w:before="0" w:after="0" w:line="360" w:lineRule="auto"/>
              <w:textAlignment w:val="auto"/>
              <w:rPr>
                <w:rFonts w:ascii="Arial" w:hAnsi="Arial" w:cs="Arial"/>
                <w:color w:val="544F40"/>
                <w:kern w:val="0"/>
              </w:rPr>
            </w:pPr>
          </w:p>
        </w:tc>
        <w:tc>
          <w:tcPr>
            <w:tcW w:w="1972" w:type="dxa"/>
          </w:tcPr>
          <w:p w14:paraId="0FBB652B" w14:textId="77777777" w:rsidR="00BB165B" w:rsidRPr="00FD38F7" w:rsidRDefault="00BB165B" w:rsidP="009D5440">
            <w:pPr>
              <w:pStyle w:val="Tabletext9"/>
              <w:overflowPunct/>
              <w:autoSpaceDE/>
              <w:autoSpaceDN/>
              <w:adjustRightInd/>
              <w:spacing w:before="0" w:after="0" w:line="360" w:lineRule="auto"/>
              <w:textAlignment w:val="auto"/>
              <w:rPr>
                <w:rFonts w:ascii="Arial" w:hAnsi="Arial" w:cs="Arial"/>
                <w:color w:val="544F40"/>
                <w:kern w:val="0"/>
              </w:rPr>
            </w:pPr>
          </w:p>
        </w:tc>
      </w:tr>
      <w:tr w:rsidR="00BB165B" w:rsidRPr="00FD38F7" w14:paraId="33A58312" w14:textId="77777777" w:rsidTr="00BB165B">
        <w:trPr>
          <w:trHeight w:val="407"/>
        </w:trPr>
        <w:tc>
          <w:tcPr>
            <w:tcW w:w="2559" w:type="dxa"/>
            <w:vAlign w:val="center"/>
          </w:tcPr>
          <w:p w14:paraId="57F12659" w14:textId="268BFD12" w:rsidR="00BB165B" w:rsidRPr="00FD38F7" w:rsidRDefault="00BB165B" w:rsidP="00592441">
            <w:pPr>
              <w:spacing w:line="360" w:lineRule="auto"/>
              <w:rPr>
                <w:rFonts w:ascii="Arial" w:hAnsi="Arial" w:cs="Arial"/>
                <w:b/>
                <w:bCs/>
                <w:color w:val="544F40"/>
                <w:sz w:val="18"/>
                <w:szCs w:val="18"/>
              </w:rPr>
            </w:pPr>
            <w:r>
              <w:rPr>
                <w:rFonts w:ascii="Arial" w:hAnsi="Arial" w:cs="Arial"/>
                <w:color w:val="544F40"/>
                <w:sz w:val="18"/>
                <w:szCs w:val="18"/>
              </w:rPr>
              <w:t>Africa</w:t>
            </w:r>
            <w:r w:rsidRPr="00FD38F7">
              <w:rPr>
                <w:rFonts w:ascii="Arial" w:hAnsi="Arial" w:cs="Arial"/>
                <w:color w:val="544F40"/>
                <w:sz w:val="18"/>
                <w:szCs w:val="18"/>
              </w:rPr>
              <w:t xml:space="preserve"> enquiries:</w:t>
            </w:r>
          </w:p>
        </w:tc>
        <w:tc>
          <w:tcPr>
            <w:tcW w:w="2078" w:type="dxa"/>
            <w:vAlign w:val="center"/>
          </w:tcPr>
          <w:p w14:paraId="5958FE65" w14:textId="04A79F23" w:rsidR="00BB165B" w:rsidRPr="00FD38F7" w:rsidRDefault="00BB165B" w:rsidP="00592441">
            <w:pPr>
              <w:spacing w:line="360" w:lineRule="auto"/>
              <w:rPr>
                <w:rFonts w:ascii="Arial" w:hAnsi="Arial" w:cs="Arial"/>
                <w:color w:val="544F40"/>
                <w:sz w:val="18"/>
                <w:szCs w:val="18"/>
              </w:rPr>
            </w:pPr>
            <w:r>
              <w:rPr>
                <w:rFonts w:ascii="Arial" w:hAnsi="Arial" w:cs="Arial"/>
                <w:color w:val="544F40"/>
                <w:sz w:val="18"/>
                <w:szCs w:val="18"/>
              </w:rPr>
              <w:t>Ethel Makila</w:t>
            </w:r>
          </w:p>
        </w:tc>
        <w:tc>
          <w:tcPr>
            <w:tcW w:w="2403" w:type="dxa"/>
            <w:vAlign w:val="center"/>
          </w:tcPr>
          <w:p w14:paraId="46244F45" w14:textId="19EEE987" w:rsidR="00BB165B" w:rsidRPr="00FD38F7" w:rsidRDefault="00BB165B" w:rsidP="00592441">
            <w:pPr>
              <w:pStyle w:val="Tabletext9"/>
              <w:overflowPunct/>
              <w:autoSpaceDE/>
              <w:autoSpaceDN/>
              <w:adjustRightInd/>
              <w:spacing w:before="0" w:after="0" w:line="360" w:lineRule="auto"/>
              <w:textAlignment w:val="auto"/>
              <w:rPr>
                <w:rFonts w:ascii="Arial" w:hAnsi="Arial" w:cs="Arial"/>
                <w:b/>
                <w:bCs/>
                <w:color w:val="544F40"/>
                <w:kern w:val="0"/>
              </w:rPr>
            </w:pPr>
            <w:r>
              <w:rPr>
                <w:rFonts w:ascii="Arial" w:hAnsi="Arial" w:cs="Arial"/>
                <w:color w:val="544F40"/>
                <w:kern w:val="0"/>
              </w:rPr>
              <w:t>+254 71 904 3142</w:t>
            </w:r>
          </w:p>
        </w:tc>
        <w:tc>
          <w:tcPr>
            <w:tcW w:w="1972" w:type="dxa"/>
          </w:tcPr>
          <w:p w14:paraId="7A01D717" w14:textId="21529E84" w:rsidR="00BB165B" w:rsidRPr="00FD38F7" w:rsidRDefault="00BB165B" w:rsidP="00592441">
            <w:pPr>
              <w:pStyle w:val="Tabletext9"/>
              <w:overflowPunct/>
              <w:autoSpaceDE/>
              <w:autoSpaceDN/>
              <w:adjustRightInd/>
              <w:spacing w:before="0" w:after="0" w:line="360" w:lineRule="auto"/>
              <w:textAlignment w:val="auto"/>
              <w:rPr>
                <w:rFonts w:ascii="Arial" w:hAnsi="Arial" w:cs="Arial"/>
                <w:color w:val="544F40"/>
                <w:kern w:val="0"/>
              </w:rPr>
            </w:pPr>
            <w:r>
              <w:rPr>
                <w:rFonts w:ascii="Arial" w:hAnsi="Arial" w:cs="Arial"/>
                <w:color w:val="544F40"/>
                <w:kern w:val="0"/>
              </w:rPr>
              <w:t>EMakila@iavi.org</w:t>
            </w:r>
          </w:p>
        </w:tc>
      </w:tr>
      <w:tr w:rsidR="00BB165B" w:rsidRPr="00FD38F7" w14:paraId="2AB72303" w14:textId="77777777" w:rsidTr="00BB165B">
        <w:trPr>
          <w:trHeight w:val="407"/>
        </w:trPr>
        <w:tc>
          <w:tcPr>
            <w:tcW w:w="2559" w:type="dxa"/>
            <w:vAlign w:val="center"/>
          </w:tcPr>
          <w:p w14:paraId="19219060" w14:textId="005EBDCB" w:rsidR="00BB165B" w:rsidRPr="00FD38F7" w:rsidRDefault="00BB165B" w:rsidP="00592441">
            <w:pPr>
              <w:spacing w:line="360" w:lineRule="auto"/>
              <w:rPr>
                <w:rFonts w:ascii="Arial" w:hAnsi="Arial" w:cs="Arial"/>
                <w:b/>
                <w:bCs/>
                <w:color w:val="544F40"/>
                <w:sz w:val="18"/>
                <w:szCs w:val="18"/>
              </w:rPr>
            </w:pPr>
            <w:r>
              <w:rPr>
                <w:rFonts w:ascii="Arial" w:hAnsi="Arial" w:cs="Arial"/>
                <w:color w:val="544F40"/>
                <w:sz w:val="18"/>
                <w:szCs w:val="18"/>
              </w:rPr>
              <w:t>Europe</w:t>
            </w:r>
            <w:r w:rsidRPr="00FD38F7">
              <w:rPr>
                <w:rFonts w:ascii="Arial" w:hAnsi="Arial" w:cs="Arial"/>
                <w:color w:val="544F40"/>
                <w:sz w:val="18"/>
                <w:szCs w:val="18"/>
              </w:rPr>
              <w:t xml:space="preserve"> enquiries:</w:t>
            </w:r>
          </w:p>
        </w:tc>
        <w:tc>
          <w:tcPr>
            <w:tcW w:w="2078" w:type="dxa"/>
            <w:vAlign w:val="center"/>
          </w:tcPr>
          <w:p w14:paraId="37AC6920" w14:textId="014723C4" w:rsidR="00BB165B" w:rsidRPr="00FD38F7" w:rsidRDefault="00BB165B" w:rsidP="00592441">
            <w:pPr>
              <w:spacing w:line="360" w:lineRule="auto"/>
              <w:rPr>
                <w:rFonts w:ascii="Arial" w:hAnsi="Arial" w:cs="Arial"/>
                <w:color w:val="544F40"/>
                <w:sz w:val="18"/>
                <w:szCs w:val="18"/>
              </w:rPr>
            </w:pPr>
            <w:r>
              <w:rPr>
                <w:rFonts w:ascii="Arial" w:hAnsi="Arial" w:cs="Arial"/>
                <w:color w:val="544F40"/>
                <w:sz w:val="18"/>
                <w:szCs w:val="18"/>
              </w:rPr>
              <w:t>Hester Kuipers</w:t>
            </w:r>
          </w:p>
        </w:tc>
        <w:tc>
          <w:tcPr>
            <w:tcW w:w="2403" w:type="dxa"/>
            <w:vAlign w:val="center"/>
          </w:tcPr>
          <w:p w14:paraId="6C49B794" w14:textId="4B0C5EC7" w:rsidR="00BB165B" w:rsidRPr="00743081" w:rsidRDefault="00BB165B" w:rsidP="00592441">
            <w:pPr>
              <w:pStyle w:val="Tabletext9"/>
              <w:overflowPunct/>
              <w:autoSpaceDE/>
              <w:autoSpaceDN/>
              <w:adjustRightInd/>
              <w:spacing w:before="0" w:after="0" w:line="360" w:lineRule="auto"/>
              <w:textAlignment w:val="auto"/>
              <w:rPr>
                <w:rFonts w:ascii="Arial" w:hAnsi="Arial" w:cs="Arial"/>
                <w:color w:val="544F40"/>
                <w:kern w:val="0"/>
              </w:rPr>
            </w:pPr>
            <w:r>
              <w:rPr>
                <w:rFonts w:ascii="Arial" w:hAnsi="Arial" w:cs="Arial"/>
                <w:color w:val="544F40"/>
                <w:kern w:val="0"/>
              </w:rPr>
              <w:t>+31 20 521 0343</w:t>
            </w:r>
          </w:p>
        </w:tc>
        <w:tc>
          <w:tcPr>
            <w:tcW w:w="1972" w:type="dxa"/>
          </w:tcPr>
          <w:p w14:paraId="6314A97E" w14:textId="1BD1DD59" w:rsidR="00BB165B" w:rsidRPr="00743081" w:rsidRDefault="00BB165B" w:rsidP="00592441">
            <w:pPr>
              <w:pStyle w:val="Tabletext9"/>
              <w:overflowPunct/>
              <w:autoSpaceDE/>
              <w:autoSpaceDN/>
              <w:adjustRightInd/>
              <w:spacing w:before="0" w:after="0" w:line="360" w:lineRule="auto"/>
              <w:textAlignment w:val="auto"/>
              <w:rPr>
                <w:rFonts w:ascii="Arial" w:hAnsi="Arial" w:cs="Arial"/>
                <w:color w:val="544F40"/>
                <w:kern w:val="0"/>
              </w:rPr>
            </w:pPr>
            <w:r>
              <w:rPr>
                <w:rFonts w:ascii="Arial" w:hAnsi="Arial" w:cs="Arial"/>
                <w:color w:val="544F40"/>
                <w:kern w:val="0"/>
              </w:rPr>
              <w:t>HKuipers@iavi.org</w:t>
            </w:r>
          </w:p>
        </w:tc>
      </w:tr>
      <w:tr w:rsidR="00BB165B" w:rsidRPr="00FD38F7" w14:paraId="0B43F252" w14:textId="77777777" w:rsidTr="00BB165B">
        <w:trPr>
          <w:trHeight w:val="407"/>
        </w:trPr>
        <w:tc>
          <w:tcPr>
            <w:tcW w:w="2559" w:type="dxa"/>
            <w:vAlign w:val="center"/>
          </w:tcPr>
          <w:p w14:paraId="2ED16291" w14:textId="4CD22405" w:rsidR="00BB165B" w:rsidRPr="00FD38F7" w:rsidRDefault="00BB165B" w:rsidP="00592441">
            <w:pPr>
              <w:spacing w:line="360" w:lineRule="auto"/>
              <w:rPr>
                <w:rFonts w:ascii="Arial" w:hAnsi="Arial" w:cs="Arial"/>
                <w:b/>
                <w:bCs/>
                <w:color w:val="544F40"/>
                <w:sz w:val="18"/>
                <w:szCs w:val="18"/>
              </w:rPr>
            </w:pPr>
            <w:r>
              <w:rPr>
                <w:rFonts w:ascii="Arial" w:hAnsi="Arial" w:cs="Arial"/>
                <w:color w:val="544F40"/>
                <w:sz w:val="18"/>
                <w:szCs w:val="18"/>
              </w:rPr>
              <w:t xml:space="preserve">India </w:t>
            </w:r>
            <w:r w:rsidRPr="00FD38F7">
              <w:rPr>
                <w:rFonts w:ascii="Arial" w:hAnsi="Arial" w:cs="Arial"/>
                <w:color w:val="544F40"/>
                <w:sz w:val="18"/>
                <w:szCs w:val="18"/>
              </w:rPr>
              <w:t>enquiries:</w:t>
            </w:r>
          </w:p>
        </w:tc>
        <w:tc>
          <w:tcPr>
            <w:tcW w:w="2078" w:type="dxa"/>
            <w:vAlign w:val="center"/>
          </w:tcPr>
          <w:p w14:paraId="31BF2201" w14:textId="5DD8733F" w:rsidR="00BB165B" w:rsidRPr="00FD38F7" w:rsidRDefault="00BB165B" w:rsidP="00592441">
            <w:pPr>
              <w:spacing w:line="360" w:lineRule="auto"/>
              <w:rPr>
                <w:rFonts w:ascii="Arial" w:hAnsi="Arial" w:cs="Arial"/>
                <w:color w:val="544F40"/>
                <w:sz w:val="18"/>
                <w:szCs w:val="18"/>
              </w:rPr>
            </w:pPr>
            <w:r w:rsidRPr="00FD38F7">
              <w:rPr>
                <w:rFonts w:ascii="Arial" w:hAnsi="Arial" w:cs="Arial"/>
                <w:color w:val="544F40"/>
                <w:sz w:val="18"/>
                <w:szCs w:val="18"/>
              </w:rPr>
              <w:t>S</w:t>
            </w:r>
            <w:r>
              <w:rPr>
                <w:rFonts w:ascii="Arial" w:hAnsi="Arial" w:cs="Arial"/>
                <w:color w:val="544F40"/>
                <w:sz w:val="18"/>
                <w:szCs w:val="18"/>
              </w:rPr>
              <w:t>aif ul Hadi</w:t>
            </w:r>
          </w:p>
        </w:tc>
        <w:tc>
          <w:tcPr>
            <w:tcW w:w="2403" w:type="dxa"/>
            <w:vAlign w:val="center"/>
          </w:tcPr>
          <w:p w14:paraId="0C88453A" w14:textId="043C69DF" w:rsidR="00BB165B" w:rsidRPr="00FD38F7" w:rsidRDefault="00BB165B" w:rsidP="00592441">
            <w:pPr>
              <w:autoSpaceDE w:val="0"/>
              <w:autoSpaceDN w:val="0"/>
              <w:rPr>
                <w:rFonts w:ascii="Calibri" w:eastAsia="Times New Roman" w:hAnsi="Calibri" w:cs="Calibri"/>
                <w:color w:val="544F40"/>
                <w:sz w:val="22"/>
                <w:szCs w:val="22"/>
                <w:lang w:eastAsia="en-GB"/>
              </w:rPr>
            </w:pPr>
            <w:r>
              <w:rPr>
                <w:rFonts w:ascii="Arial" w:hAnsi="Arial" w:cs="Arial"/>
                <w:color w:val="544F40"/>
                <w:sz w:val="18"/>
                <w:szCs w:val="18"/>
                <w:lang w:val="en-US"/>
              </w:rPr>
              <w:t>+91 11 4737 6032</w:t>
            </w:r>
          </w:p>
        </w:tc>
        <w:tc>
          <w:tcPr>
            <w:tcW w:w="1972" w:type="dxa"/>
          </w:tcPr>
          <w:p w14:paraId="62D472C6" w14:textId="3128F207" w:rsidR="00BB165B" w:rsidRPr="00FD38F7" w:rsidRDefault="00BB165B" w:rsidP="00592441">
            <w:pPr>
              <w:spacing w:line="360" w:lineRule="auto"/>
              <w:rPr>
                <w:rFonts w:ascii="Arial" w:hAnsi="Arial" w:cs="Arial"/>
                <w:color w:val="544F40"/>
                <w:sz w:val="18"/>
                <w:szCs w:val="18"/>
              </w:rPr>
            </w:pPr>
            <w:r>
              <w:rPr>
                <w:rFonts w:ascii="Arial" w:hAnsi="Arial" w:cs="Arial"/>
                <w:color w:val="544F40"/>
                <w:sz w:val="18"/>
                <w:szCs w:val="18"/>
                <w:lang w:val="en-US"/>
              </w:rPr>
              <w:t>SulHadi@iavi.org</w:t>
            </w:r>
          </w:p>
        </w:tc>
      </w:tr>
      <w:tr w:rsidR="00592441" w:rsidRPr="00FD38F7" w14:paraId="6F3F6DAB" w14:textId="77777777" w:rsidTr="00BB165B">
        <w:trPr>
          <w:trHeight w:val="407"/>
        </w:trPr>
        <w:tc>
          <w:tcPr>
            <w:tcW w:w="2559" w:type="dxa"/>
            <w:vAlign w:val="center"/>
          </w:tcPr>
          <w:p w14:paraId="6A7D8A43" w14:textId="07FED851" w:rsidR="00592441" w:rsidRDefault="00592441" w:rsidP="00592441">
            <w:pPr>
              <w:spacing w:line="360" w:lineRule="auto"/>
              <w:rPr>
                <w:rFonts w:ascii="Arial" w:hAnsi="Arial" w:cs="Arial"/>
                <w:color w:val="544F40"/>
                <w:sz w:val="18"/>
                <w:szCs w:val="18"/>
              </w:rPr>
            </w:pPr>
            <w:r>
              <w:rPr>
                <w:rFonts w:ascii="Arial" w:hAnsi="Arial" w:cs="Arial"/>
                <w:color w:val="544F40"/>
                <w:sz w:val="18"/>
                <w:szCs w:val="18"/>
              </w:rPr>
              <w:t xml:space="preserve">United States </w:t>
            </w:r>
            <w:r w:rsidRPr="00FD38F7">
              <w:rPr>
                <w:rFonts w:ascii="Arial" w:hAnsi="Arial" w:cs="Arial"/>
                <w:color w:val="544F40"/>
                <w:sz w:val="18"/>
                <w:szCs w:val="18"/>
              </w:rPr>
              <w:t>enquiries:</w:t>
            </w:r>
          </w:p>
        </w:tc>
        <w:tc>
          <w:tcPr>
            <w:tcW w:w="2078" w:type="dxa"/>
            <w:vAlign w:val="center"/>
          </w:tcPr>
          <w:p w14:paraId="6D2E1922" w14:textId="3FAFEF0D" w:rsidR="00592441" w:rsidRPr="00FD38F7" w:rsidRDefault="00592441" w:rsidP="00592441">
            <w:pPr>
              <w:spacing w:line="360" w:lineRule="auto"/>
              <w:rPr>
                <w:rFonts w:ascii="Arial" w:hAnsi="Arial" w:cs="Arial"/>
                <w:color w:val="544F40"/>
                <w:sz w:val="18"/>
                <w:szCs w:val="18"/>
              </w:rPr>
            </w:pPr>
            <w:r>
              <w:rPr>
                <w:rFonts w:ascii="Arial" w:hAnsi="Arial" w:cs="Arial"/>
                <w:color w:val="544F40"/>
                <w:sz w:val="18"/>
                <w:szCs w:val="18"/>
              </w:rPr>
              <w:t>Rose Catlos</w:t>
            </w:r>
          </w:p>
        </w:tc>
        <w:tc>
          <w:tcPr>
            <w:tcW w:w="2403" w:type="dxa"/>
            <w:vAlign w:val="center"/>
          </w:tcPr>
          <w:p w14:paraId="1C8723AA" w14:textId="4C5974D8" w:rsidR="00592441" w:rsidRDefault="00592441" w:rsidP="00592441">
            <w:pPr>
              <w:autoSpaceDE w:val="0"/>
              <w:autoSpaceDN w:val="0"/>
              <w:rPr>
                <w:rFonts w:ascii="Arial" w:hAnsi="Arial" w:cs="Arial"/>
                <w:color w:val="544F40"/>
                <w:sz w:val="18"/>
                <w:szCs w:val="18"/>
                <w:lang w:val="en-US"/>
              </w:rPr>
            </w:pPr>
            <w:r>
              <w:rPr>
                <w:rFonts w:ascii="Arial" w:hAnsi="Arial" w:cs="Arial"/>
                <w:color w:val="544F40"/>
                <w:sz w:val="18"/>
                <w:szCs w:val="18"/>
                <w:lang w:val="en-US"/>
              </w:rPr>
              <w:t>+1 212 847 1049</w:t>
            </w:r>
          </w:p>
        </w:tc>
        <w:tc>
          <w:tcPr>
            <w:tcW w:w="1972" w:type="dxa"/>
          </w:tcPr>
          <w:p w14:paraId="07700368" w14:textId="48DD1104" w:rsidR="00592441" w:rsidRDefault="00C552EE" w:rsidP="00592441">
            <w:pPr>
              <w:spacing w:line="360" w:lineRule="auto"/>
              <w:rPr>
                <w:rFonts w:ascii="Arial" w:hAnsi="Arial" w:cs="Arial"/>
                <w:color w:val="544F40"/>
                <w:sz w:val="18"/>
                <w:szCs w:val="18"/>
                <w:lang w:val="en-US"/>
              </w:rPr>
            </w:pPr>
            <w:r>
              <w:rPr>
                <w:rFonts w:ascii="Arial" w:hAnsi="Arial" w:cs="Arial"/>
                <w:color w:val="544F40"/>
                <w:sz w:val="18"/>
                <w:szCs w:val="18"/>
                <w:lang w:val="en-US"/>
              </w:rPr>
              <w:t>RC</w:t>
            </w:r>
            <w:r w:rsidR="00592441">
              <w:rPr>
                <w:rFonts w:ascii="Arial" w:hAnsi="Arial" w:cs="Arial"/>
                <w:color w:val="544F40"/>
                <w:sz w:val="18"/>
                <w:szCs w:val="18"/>
                <w:lang w:val="en-US"/>
              </w:rPr>
              <w:t>atlos@iavi.org</w:t>
            </w:r>
          </w:p>
        </w:tc>
      </w:tr>
    </w:tbl>
    <w:p w14:paraId="7790AFE3" w14:textId="77777777" w:rsidR="00BB165B" w:rsidRDefault="00BB165B" w:rsidP="00592441">
      <w:pPr>
        <w:rPr>
          <w:rFonts w:eastAsia="Times New Roman"/>
        </w:rPr>
      </w:pPr>
    </w:p>
    <w:p w14:paraId="1D43DC6D" w14:textId="60B1CEB8" w:rsidR="00C40DC9" w:rsidRPr="008F78EF" w:rsidRDefault="00C40DC9" w:rsidP="00C40DC9">
      <w:pPr>
        <w:rPr>
          <w:rFonts w:ascii="Arial" w:hAnsi="Arial" w:cs="Arial"/>
          <w:b/>
        </w:rPr>
      </w:pPr>
      <w:bookmarkStart w:id="2" w:name="_Hlk528596280"/>
      <w:r w:rsidRPr="008F78EF">
        <w:rPr>
          <w:rFonts w:ascii="Arial" w:hAnsi="Arial" w:cs="Arial"/>
          <w:b/>
        </w:rPr>
        <w:t xml:space="preserve">About GSK </w:t>
      </w:r>
    </w:p>
    <w:p w14:paraId="4F6BFC44" w14:textId="77777777" w:rsidR="00C40DC9" w:rsidRDefault="00C40DC9" w:rsidP="00C40DC9">
      <w:pPr>
        <w:rPr>
          <w:rFonts w:ascii="Arial" w:hAnsi="Arial" w:cs="Arial"/>
        </w:rPr>
      </w:pPr>
    </w:p>
    <w:p w14:paraId="7CB99F28" w14:textId="77777777" w:rsidR="00C40DC9" w:rsidRPr="00F77D34" w:rsidRDefault="00C40DC9" w:rsidP="00C40DC9">
      <w:pPr>
        <w:rPr>
          <w:rFonts w:ascii="Arial" w:hAnsi="Arial" w:cs="Arial"/>
        </w:rPr>
      </w:pPr>
      <w:r>
        <w:rPr>
          <w:rFonts w:ascii="Arial" w:hAnsi="Arial" w:cs="Arial"/>
        </w:rPr>
        <w:t xml:space="preserve">GSK is a science-led global healthcare company with a special purpose: to help people do more, feel better, live longer. </w:t>
      </w:r>
      <w:r w:rsidRPr="00F77D34">
        <w:rPr>
          <w:rFonts w:ascii="Arial" w:hAnsi="Arial" w:cs="Arial"/>
        </w:rPr>
        <w:t xml:space="preserve">For further information please visit </w:t>
      </w:r>
      <w:hyperlink r:id="rId12" w:history="1">
        <w:r w:rsidRPr="0097666F">
          <w:rPr>
            <w:rStyle w:val="Hyperlink"/>
            <w:rFonts w:ascii="Arial" w:hAnsi="Arial" w:cs="Arial"/>
          </w:rPr>
          <w:t>www.gsk.com</w:t>
        </w:r>
      </w:hyperlink>
      <w:r>
        <w:rPr>
          <w:rFonts w:ascii="Arial" w:hAnsi="Arial" w:cs="Arial"/>
        </w:rPr>
        <w:t>.</w:t>
      </w:r>
    </w:p>
    <w:tbl>
      <w:tblPr>
        <w:tblW w:w="4783" w:type="pct"/>
        <w:tblLayout w:type="fixed"/>
        <w:tblLook w:val="0000" w:firstRow="0" w:lastRow="0" w:firstColumn="0" w:lastColumn="0" w:noHBand="0" w:noVBand="0"/>
      </w:tblPr>
      <w:tblGrid>
        <w:gridCol w:w="2447"/>
        <w:gridCol w:w="1988"/>
        <w:gridCol w:w="2299"/>
        <w:gridCol w:w="1463"/>
        <w:gridCol w:w="423"/>
        <w:gridCol w:w="14"/>
      </w:tblGrid>
      <w:tr w:rsidR="00F9763F" w:rsidRPr="00FD38F7" w14:paraId="2A45F1C4" w14:textId="77777777" w:rsidTr="006F7683">
        <w:trPr>
          <w:gridAfter w:val="1"/>
          <w:wAfter w:w="14" w:type="dxa"/>
          <w:trHeight w:val="446"/>
        </w:trPr>
        <w:tc>
          <w:tcPr>
            <w:tcW w:w="2448" w:type="dxa"/>
            <w:vAlign w:val="center"/>
          </w:tcPr>
          <w:p w14:paraId="01ED8E6E" w14:textId="77777777" w:rsidR="00F9763F" w:rsidRDefault="00F9763F" w:rsidP="009D5440">
            <w:pPr>
              <w:spacing w:line="360" w:lineRule="auto"/>
              <w:rPr>
                <w:rStyle w:val="PR-SubHeadingtitleChar"/>
                <w:rFonts w:ascii="Arial" w:hAnsi="Arial" w:cs="Arial"/>
                <w:color w:val="544F40"/>
                <w:sz w:val="20"/>
                <w:szCs w:val="20"/>
              </w:rPr>
            </w:pPr>
            <w:bookmarkStart w:id="3" w:name="_Hlk528059520"/>
          </w:p>
          <w:p w14:paraId="117DD10E" w14:textId="77777777" w:rsidR="00F9763F" w:rsidRPr="00FD38F7" w:rsidRDefault="00F9763F" w:rsidP="009D5440">
            <w:pPr>
              <w:spacing w:line="360" w:lineRule="auto"/>
              <w:rPr>
                <w:rFonts w:ascii="Arial" w:hAnsi="Arial" w:cs="Arial"/>
                <w:color w:val="544F40"/>
                <w:sz w:val="18"/>
                <w:szCs w:val="18"/>
              </w:rPr>
            </w:pPr>
            <w:r w:rsidRPr="00FD38F7">
              <w:rPr>
                <w:rStyle w:val="PR-SubHeadingtitleChar"/>
                <w:rFonts w:ascii="Arial" w:hAnsi="Arial" w:cs="Arial"/>
                <w:color w:val="544F40"/>
                <w:sz w:val="20"/>
                <w:szCs w:val="20"/>
              </w:rPr>
              <w:t>GSK enquiries:</w:t>
            </w:r>
          </w:p>
        </w:tc>
        <w:tc>
          <w:tcPr>
            <w:tcW w:w="1988" w:type="dxa"/>
            <w:vAlign w:val="center"/>
          </w:tcPr>
          <w:p w14:paraId="22C9B751" w14:textId="77777777" w:rsidR="00F9763F" w:rsidRPr="00FD38F7" w:rsidRDefault="00F9763F" w:rsidP="009D5440">
            <w:pPr>
              <w:spacing w:line="360" w:lineRule="auto"/>
              <w:rPr>
                <w:rFonts w:ascii="Arial" w:hAnsi="Arial" w:cs="Arial"/>
                <w:color w:val="544F40"/>
                <w:sz w:val="18"/>
                <w:szCs w:val="18"/>
              </w:rPr>
            </w:pPr>
          </w:p>
        </w:tc>
        <w:tc>
          <w:tcPr>
            <w:tcW w:w="2299" w:type="dxa"/>
            <w:vAlign w:val="center"/>
          </w:tcPr>
          <w:p w14:paraId="2F8A75DE" w14:textId="77777777" w:rsidR="00F9763F" w:rsidRPr="00FD38F7" w:rsidRDefault="00F9763F" w:rsidP="009D5440">
            <w:pPr>
              <w:pStyle w:val="Tabletext9"/>
              <w:overflowPunct/>
              <w:autoSpaceDE/>
              <w:autoSpaceDN/>
              <w:adjustRightInd/>
              <w:spacing w:before="0" w:after="0" w:line="360" w:lineRule="auto"/>
              <w:textAlignment w:val="auto"/>
              <w:rPr>
                <w:rFonts w:ascii="Arial" w:hAnsi="Arial" w:cs="Arial"/>
                <w:color w:val="544F40"/>
                <w:kern w:val="0"/>
              </w:rPr>
            </w:pPr>
          </w:p>
        </w:tc>
        <w:tc>
          <w:tcPr>
            <w:tcW w:w="1886" w:type="dxa"/>
            <w:gridSpan w:val="2"/>
          </w:tcPr>
          <w:p w14:paraId="6DD89E83" w14:textId="77777777" w:rsidR="00F9763F" w:rsidRPr="00FD38F7" w:rsidRDefault="00F9763F" w:rsidP="009D5440">
            <w:pPr>
              <w:pStyle w:val="Tabletext9"/>
              <w:overflowPunct/>
              <w:autoSpaceDE/>
              <w:autoSpaceDN/>
              <w:adjustRightInd/>
              <w:spacing w:before="0" w:after="0" w:line="360" w:lineRule="auto"/>
              <w:textAlignment w:val="auto"/>
              <w:rPr>
                <w:rFonts w:ascii="Arial" w:hAnsi="Arial" w:cs="Arial"/>
                <w:color w:val="544F40"/>
                <w:kern w:val="0"/>
              </w:rPr>
            </w:pPr>
          </w:p>
        </w:tc>
      </w:tr>
      <w:tr w:rsidR="00F9763F" w:rsidRPr="00FD38F7" w14:paraId="261440F7" w14:textId="77777777" w:rsidTr="006F7683">
        <w:trPr>
          <w:gridAfter w:val="1"/>
          <w:wAfter w:w="14" w:type="dxa"/>
          <w:trHeight w:val="407"/>
        </w:trPr>
        <w:tc>
          <w:tcPr>
            <w:tcW w:w="2448" w:type="dxa"/>
            <w:vAlign w:val="center"/>
          </w:tcPr>
          <w:p w14:paraId="5858AE83" w14:textId="77777777" w:rsidR="00F9763F" w:rsidRPr="00FD38F7" w:rsidRDefault="00F9763F" w:rsidP="009D5440">
            <w:pPr>
              <w:spacing w:line="360" w:lineRule="auto"/>
              <w:rPr>
                <w:rFonts w:ascii="Arial" w:hAnsi="Arial" w:cs="Arial"/>
                <w:b/>
                <w:bCs/>
                <w:color w:val="544F40"/>
                <w:sz w:val="18"/>
                <w:szCs w:val="18"/>
              </w:rPr>
            </w:pPr>
            <w:r w:rsidRPr="00FD38F7">
              <w:rPr>
                <w:rFonts w:ascii="Arial" w:hAnsi="Arial" w:cs="Arial"/>
                <w:color w:val="544F40"/>
                <w:sz w:val="18"/>
                <w:szCs w:val="18"/>
              </w:rPr>
              <w:t>UK Media enquiries:</w:t>
            </w:r>
          </w:p>
        </w:tc>
        <w:tc>
          <w:tcPr>
            <w:tcW w:w="1988" w:type="dxa"/>
            <w:vAlign w:val="center"/>
          </w:tcPr>
          <w:p w14:paraId="5D2BCE46" w14:textId="43C629CA" w:rsidR="00F9763F" w:rsidRPr="00FD38F7" w:rsidRDefault="00C552EE" w:rsidP="009D5440">
            <w:pPr>
              <w:spacing w:line="360" w:lineRule="auto"/>
              <w:rPr>
                <w:rFonts w:ascii="Arial" w:hAnsi="Arial" w:cs="Arial"/>
                <w:color w:val="544F40"/>
                <w:sz w:val="18"/>
                <w:szCs w:val="18"/>
              </w:rPr>
            </w:pPr>
            <w:r>
              <w:rPr>
                <w:rFonts w:ascii="Arial" w:hAnsi="Arial" w:cs="Arial"/>
                <w:color w:val="544F40"/>
                <w:sz w:val="18"/>
                <w:szCs w:val="18"/>
              </w:rPr>
              <w:t>Simon Moore</w:t>
            </w:r>
          </w:p>
        </w:tc>
        <w:tc>
          <w:tcPr>
            <w:tcW w:w="2299" w:type="dxa"/>
            <w:vAlign w:val="center"/>
          </w:tcPr>
          <w:p w14:paraId="749548D7" w14:textId="77777777" w:rsidR="00F9763F" w:rsidRPr="00FD38F7" w:rsidRDefault="00F9763F" w:rsidP="009D5440">
            <w:pPr>
              <w:pStyle w:val="Tabletext9"/>
              <w:overflowPunct/>
              <w:autoSpaceDE/>
              <w:autoSpaceDN/>
              <w:adjustRightInd/>
              <w:spacing w:before="0" w:after="0" w:line="360" w:lineRule="auto"/>
              <w:textAlignment w:val="auto"/>
              <w:rPr>
                <w:rFonts w:ascii="Arial" w:hAnsi="Arial" w:cs="Arial"/>
                <w:b/>
                <w:bCs/>
                <w:color w:val="544F40"/>
                <w:kern w:val="0"/>
              </w:rPr>
            </w:pPr>
            <w:r w:rsidRPr="00FD38F7">
              <w:rPr>
                <w:rFonts w:ascii="Arial" w:hAnsi="Arial" w:cs="Arial"/>
                <w:color w:val="544F40"/>
                <w:kern w:val="0"/>
              </w:rPr>
              <w:t>+44 (0) 20 8047 5502</w:t>
            </w:r>
          </w:p>
        </w:tc>
        <w:tc>
          <w:tcPr>
            <w:tcW w:w="1886" w:type="dxa"/>
            <w:gridSpan w:val="2"/>
          </w:tcPr>
          <w:p w14:paraId="1E185226" w14:textId="77777777" w:rsidR="00F9763F" w:rsidRPr="00FD38F7" w:rsidRDefault="00F9763F" w:rsidP="009D5440">
            <w:pPr>
              <w:pStyle w:val="Tabletext9"/>
              <w:overflowPunct/>
              <w:autoSpaceDE/>
              <w:autoSpaceDN/>
              <w:adjustRightInd/>
              <w:spacing w:before="0" w:after="0" w:line="360" w:lineRule="auto"/>
              <w:textAlignment w:val="auto"/>
              <w:rPr>
                <w:rFonts w:ascii="Arial" w:hAnsi="Arial" w:cs="Arial"/>
                <w:color w:val="544F40"/>
                <w:kern w:val="0"/>
              </w:rPr>
            </w:pPr>
            <w:r w:rsidRPr="00FD38F7">
              <w:rPr>
                <w:rFonts w:ascii="Arial" w:hAnsi="Arial" w:cs="Arial"/>
                <w:color w:val="544F40"/>
                <w:kern w:val="0"/>
              </w:rPr>
              <w:t>(London)</w:t>
            </w:r>
          </w:p>
        </w:tc>
      </w:tr>
      <w:tr w:rsidR="00F9763F" w:rsidRPr="00FD38F7" w14:paraId="2680FD7D" w14:textId="77777777" w:rsidTr="006F7683">
        <w:trPr>
          <w:gridAfter w:val="1"/>
          <w:wAfter w:w="14" w:type="dxa"/>
          <w:trHeight w:val="407"/>
        </w:trPr>
        <w:tc>
          <w:tcPr>
            <w:tcW w:w="2448" w:type="dxa"/>
            <w:vAlign w:val="center"/>
          </w:tcPr>
          <w:p w14:paraId="401020CB" w14:textId="77777777" w:rsidR="00F9763F" w:rsidRPr="00FD38F7" w:rsidRDefault="00F9763F" w:rsidP="009D5440">
            <w:pPr>
              <w:spacing w:line="360" w:lineRule="auto"/>
              <w:rPr>
                <w:rFonts w:ascii="Arial" w:hAnsi="Arial" w:cs="Arial"/>
                <w:b/>
                <w:bCs/>
                <w:color w:val="544F40"/>
                <w:sz w:val="18"/>
                <w:szCs w:val="18"/>
              </w:rPr>
            </w:pPr>
            <w:r w:rsidRPr="00FD38F7">
              <w:rPr>
                <w:rFonts w:ascii="Arial" w:hAnsi="Arial" w:cs="Arial"/>
                <w:color w:val="544F40"/>
                <w:sz w:val="18"/>
                <w:szCs w:val="18"/>
              </w:rPr>
              <w:t>US Media enquiries:</w:t>
            </w:r>
          </w:p>
        </w:tc>
        <w:tc>
          <w:tcPr>
            <w:tcW w:w="1988" w:type="dxa"/>
            <w:vAlign w:val="center"/>
          </w:tcPr>
          <w:p w14:paraId="45C6D015" w14:textId="1F15D019" w:rsidR="00F9763F" w:rsidRPr="00FD38F7" w:rsidRDefault="00F9763F" w:rsidP="009D5440">
            <w:pPr>
              <w:spacing w:line="360" w:lineRule="auto"/>
              <w:rPr>
                <w:rFonts w:ascii="Arial" w:hAnsi="Arial" w:cs="Arial"/>
                <w:color w:val="544F40"/>
                <w:sz w:val="18"/>
                <w:szCs w:val="18"/>
              </w:rPr>
            </w:pPr>
            <w:r>
              <w:rPr>
                <w:rFonts w:ascii="Arial" w:hAnsi="Arial" w:cs="Arial"/>
                <w:color w:val="544F40"/>
                <w:sz w:val="18"/>
                <w:szCs w:val="18"/>
              </w:rPr>
              <w:t>Evan Berland</w:t>
            </w:r>
          </w:p>
        </w:tc>
        <w:tc>
          <w:tcPr>
            <w:tcW w:w="2299" w:type="dxa"/>
            <w:vAlign w:val="center"/>
          </w:tcPr>
          <w:p w14:paraId="77298247" w14:textId="405B8ACE" w:rsidR="00F9763F" w:rsidRPr="00743081" w:rsidRDefault="006F7683" w:rsidP="009D5440">
            <w:pPr>
              <w:pStyle w:val="Tabletext9"/>
              <w:overflowPunct/>
              <w:autoSpaceDE/>
              <w:autoSpaceDN/>
              <w:adjustRightInd/>
              <w:spacing w:before="0" w:after="0" w:line="360" w:lineRule="auto"/>
              <w:textAlignment w:val="auto"/>
              <w:rPr>
                <w:rFonts w:ascii="Arial" w:hAnsi="Arial" w:cs="Arial"/>
                <w:color w:val="544F40"/>
                <w:kern w:val="0"/>
              </w:rPr>
            </w:pPr>
            <w:r>
              <w:rPr>
                <w:rFonts w:ascii="Arial" w:hAnsi="Arial" w:cs="Arial"/>
                <w:color w:val="544F40"/>
                <w:kern w:val="0"/>
              </w:rPr>
              <w:t xml:space="preserve">+1 </w:t>
            </w:r>
            <w:r w:rsidR="00541552">
              <w:rPr>
                <w:rFonts w:ascii="Arial" w:hAnsi="Arial" w:cs="Arial"/>
                <w:color w:val="544F40"/>
                <w:kern w:val="0"/>
              </w:rPr>
              <w:t xml:space="preserve">215 751 </w:t>
            </w:r>
            <w:r w:rsidR="00130FB1" w:rsidRPr="00130FB1">
              <w:rPr>
                <w:rFonts w:ascii="Arial" w:hAnsi="Arial" w:cs="Arial"/>
                <w:color w:val="544F40"/>
                <w:kern w:val="0"/>
              </w:rPr>
              <w:t>5497</w:t>
            </w:r>
          </w:p>
        </w:tc>
        <w:tc>
          <w:tcPr>
            <w:tcW w:w="1886" w:type="dxa"/>
            <w:gridSpan w:val="2"/>
          </w:tcPr>
          <w:p w14:paraId="0E77D708" w14:textId="77777777" w:rsidR="00F9763F" w:rsidRPr="00743081" w:rsidRDefault="00F9763F" w:rsidP="009D5440">
            <w:pPr>
              <w:pStyle w:val="Tabletext9"/>
              <w:overflowPunct/>
              <w:autoSpaceDE/>
              <w:autoSpaceDN/>
              <w:adjustRightInd/>
              <w:spacing w:before="0" w:after="0" w:line="360" w:lineRule="auto"/>
              <w:textAlignment w:val="auto"/>
              <w:rPr>
                <w:rFonts w:ascii="Arial" w:hAnsi="Arial" w:cs="Arial"/>
                <w:color w:val="544F40"/>
                <w:kern w:val="0"/>
              </w:rPr>
            </w:pPr>
            <w:r w:rsidRPr="00FD38F7">
              <w:rPr>
                <w:rFonts w:ascii="Arial" w:hAnsi="Arial" w:cs="Arial"/>
                <w:color w:val="544F40"/>
                <w:kern w:val="0"/>
              </w:rPr>
              <w:t>(Philadelphia)</w:t>
            </w:r>
          </w:p>
        </w:tc>
      </w:tr>
      <w:tr w:rsidR="00F9763F" w:rsidRPr="00FD38F7" w14:paraId="661E33E4" w14:textId="77777777" w:rsidTr="006F7683">
        <w:trPr>
          <w:gridAfter w:val="1"/>
          <w:wAfter w:w="14" w:type="dxa"/>
          <w:trHeight w:val="407"/>
        </w:trPr>
        <w:tc>
          <w:tcPr>
            <w:tcW w:w="2448" w:type="dxa"/>
            <w:vAlign w:val="center"/>
          </w:tcPr>
          <w:p w14:paraId="335B682C" w14:textId="77777777" w:rsidR="00F9763F" w:rsidRPr="00FD38F7" w:rsidRDefault="00F9763F" w:rsidP="009D5440">
            <w:pPr>
              <w:spacing w:line="360" w:lineRule="auto"/>
              <w:rPr>
                <w:rFonts w:ascii="Arial" w:hAnsi="Arial" w:cs="Arial"/>
                <w:b/>
                <w:bCs/>
                <w:color w:val="544F40"/>
                <w:sz w:val="18"/>
                <w:szCs w:val="18"/>
              </w:rPr>
            </w:pPr>
            <w:r w:rsidRPr="00FD38F7">
              <w:rPr>
                <w:rFonts w:ascii="Arial" w:hAnsi="Arial" w:cs="Arial"/>
                <w:color w:val="544F40"/>
                <w:sz w:val="18"/>
                <w:szCs w:val="18"/>
              </w:rPr>
              <w:t>Analyst/Investor enquiries:</w:t>
            </w:r>
          </w:p>
        </w:tc>
        <w:tc>
          <w:tcPr>
            <w:tcW w:w="1988" w:type="dxa"/>
            <w:vAlign w:val="center"/>
          </w:tcPr>
          <w:p w14:paraId="54B8339A" w14:textId="77777777" w:rsidR="00F9763F" w:rsidRPr="00FD38F7" w:rsidRDefault="00F9763F" w:rsidP="009D5440">
            <w:pPr>
              <w:spacing w:line="360" w:lineRule="auto"/>
              <w:rPr>
                <w:rFonts w:ascii="Arial" w:hAnsi="Arial" w:cs="Arial"/>
                <w:color w:val="544F40"/>
                <w:sz w:val="18"/>
                <w:szCs w:val="18"/>
              </w:rPr>
            </w:pPr>
            <w:r w:rsidRPr="00FD38F7">
              <w:rPr>
                <w:rFonts w:ascii="Arial" w:hAnsi="Arial" w:cs="Arial"/>
                <w:color w:val="544F40"/>
                <w:sz w:val="18"/>
                <w:szCs w:val="18"/>
              </w:rPr>
              <w:t>Sarah Elton-Farr</w:t>
            </w:r>
          </w:p>
        </w:tc>
        <w:tc>
          <w:tcPr>
            <w:tcW w:w="2299" w:type="dxa"/>
            <w:vAlign w:val="center"/>
          </w:tcPr>
          <w:p w14:paraId="39A0900F" w14:textId="77777777" w:rsidR="00F9763F" w:rsidRPr="00FD38F7" w:rsidRDefault="00F9763F" w:rsidP="009D5440">
            <w:pPr>
              <w:autoSpaceDE w:val="0"/>
              <w:autoSpaceDN w:val="0"/>
              <w:rPr>
                <w:rFonts w:ascii="Calibri" w:eastAsia="Times New Roman" w:hAnsi="Calibri" w:cs="Calibri"/>
                <w:color w:val="544F40"/>
                <w:sz w:val="22"/>
                <w:szCs w:val="22"/>
                <w:lang w:eastAsia="en-GB"/>
              </w:rPr>
            </w:pPr>
            <w:r w:rsidRPr="00FD38F7">
              <w:rPr>
                <w:rFonts w:ascii="Arial" w:hAnsi="Arial" w:cs="Arial"/>
                <w:color w:val="544F40"/>
                <w:sz w:val="18"/>
                <w:szCs w:val="18"/>
                <w:lang w:val="en-US"/>
              </w:rPr>
              <w:t>+44 (0) 208 047 5194</w:t>
            </w:r>
          </w:p>
        </w:tc>
        <w:tc>
          <w:tcPr>
            <w:tcW w:w="1886" w:type="dxa"/>
            <w:gridSpan w:val="2"/>
          </w:tcPr>
          <w:p w14:paraId="5FC3659D" w14:textId="77777777" w:rsidR="00F9763F" w:rsidRPr="00FD38F7" w:rsidRDefault="00F9763F" w:rsidP="009D5440">
            <w:pPr>
              <w:spacing w:line="360" w:lineRule="auto"/>
              <w:rPr>
                <w:rFonts w:ascii="Arial" w:hAnsi="Arial" w:cs="Arial"/>
                <w:color w:val="544F40"/>
                <w:sz w:val="18"/>
                <w:szCs w:val="18"/>
              </w:rPr>
            </w:pPr>
            <w:r w:rsidRPr="00FD38F7">
              <w:rPr>
                <w:rFonts w:ascii="Arial" w:hAnsi="Arial" w:cs="Arial"/>
                <w:color w:val="544F40"/>
                <w:sz w:val="18"/>
                <w:szCs w:val="18"/>
                <w:lang w:val="en-US"/>
              </w:rPr>
              <w:t>(London)</w:t>
            </w:r>
          </w:p>
        </w:tc>
      </w:tr>
      <w:tr w:rsidR="00F9763F" w:rsidRPr="00FD38F7" w14:paraId="67F368A5" w14:textId="77777777" w:rsidTr="006F7683">
        <w:trPr>
          <w:gridAfter w:val="1"/>
          <w:wAfter w:w="14" w:type="dxa"/>
          <w:trHeight w:val="407"/>
        </w:trPr>
        <w:tc>
          <w:tcPr>
            <w:tcW w:w="2448" w:type="dxa"/>
            <w:vAlign w:val="center"/>
          </w:tcPr>
          <w:p w14:paraId="2FB99556" w14:textId="77777777" w:rsidR="00F9763F" w:rsidRPr="00FD38F7" w:rsidRDefault="00F9763F" w:rsidP="009D5440">
            <w:pPr>
              <w:spacing w:line="360" w:lineRule="auto"/>
              <w:rPr>
                <w:rFonts w:ascii="Arial" w:hAnsi="Arial" w:cs="Arial"/>
                <w:color w:val="544F40"/>
                <w:sz w:val="18"/>
                <w:szCs w:val="18"/>
              </w:rPr>
            </w:pPr>
          </w:p>
        </w:tc>
        <w:tc>
          <w:tcPr>
            <w:tcW w:w="1988" w:type="dxa"/>
            <w:vAlign w:val="center"/>
          </w:tcPr>
          <w:p w14:paraId="7DA2C01B" w14:textId="77777777" w:rsidR="00F9763F" w:rsidRPr="00FD38F7" w:rsidRDefault="00F9763F" w:rsidP="009D5440">
            <w:pPr>
              <w:spacing w:line="360" w:lineRule="auto"/>
              <w:rPr>
                <w:rFonts w:ascii="Arial" w:hAnsi="Arial" w:cs="Arial"/>
                <w:color w:val="544F40"/>
                <w:sz w:val="18"/>
                <w:szCs w:val="18"/>
              </w:rPr>
            </w:pPr>
            <w:r w:rsidRPr="00FD38F7">
              <w:rPr>
                <w:rFonts w:ascii="Arial" w:hAnsi="Arial" w:cs="Arial"/>
                <w:color w:val="544F40"/>
                <w:sz w:val="18"/>
                <w:szCs w:val="18"/>
              </w:rPr>
              <w:t>Danielle Smith</w:t>
            </w:r>
          </w:p>
        </w:tc>
        <w:tc>
          <w:tcPr>
            <w:tcW w:w="2299" w:type="dxa"/>
            <w:vAlign w:val="center"/>
          </w:tcPr>
          <w:p w14:paraId="67B0D107" w14:textId="77777777" w:rsidR="00F9763F" w:rsidRPr="00FD38F7" w:rsidRDefault="00F9763F" w:rsidP="009D5440">
            <w:pPr>
              <w:spacing w:line="360" w:lineRule="auto"/>
              <w:rPr>
                <w:rFonts w:ascii="Arial" w:eastAsiaTheme="minorHAnsi" w:hAnsi="Arial" w:cs="Arial"/>
                <w:color w:val="544F40"/>
                <w:sz w:val="18"/>
                <w:szCs w:val="18"/>
              </w:rPr>
            </w:pPr>
            <w:r w:rsidRPr="00FD38F7">
              <w:rPr>
                <w:rFonts w:ascii="Arial" w:hAnsi="Arial" w:cs="Arial"/>
                <w:color w:val="544F40"/>
                <w:sz w:val="18"/>
                <w:szCs w:val="18"/>
                <w:lang w:val="en-US"/>
              </w:rPr>
              <w:t>+44 (0) 20 8047 7562</w:t>
            </w:r>
          </w:p>
        </w:tc>
        <w:tc>
          <w:tcPr>
            <w:tcW w:w="1886" w:type="dxa"/>
            <w:gridSpan w:val="2"/>
          </w:tcPr>
          <w:p w14:paraId="054FF840" w14:textId="77777777" w:rsidR="00F9763F" w:rsidRPr="00FD38F7" w:rsidRDefault="00F9763F" w:rsidP="009D5440">
            <w:pPr>
              <w:spacing w:line="360" w:lineRule="auto"/>
              <w:rPr>
                <w:rFonts w:ascii="Arial" w:eastAsiaTheme="minorHAnsi" w:hAnsi="Arial" w:cs="Arial"/>
                <w:color w:val="544F40"/>
                <w:sz w:val="18"/>
                <w:szCs w:val="18"/>
              </w:rPr>
            </w:pPr>
            <w:r w:rsidRPr="00FD38F7">
              <w:rPr>
                <w:rFonts w:ascii="Arial" w:hAnsi="Arial" w:cs="Arial"/>
                <w:color w:val="544F40"/>
                <w:sz w:val="18"/>
                <w:szCs w:val="18"/>
                <w:lang w:val="en-US"/>
              </w:rPr>
              <w:t>(London)</w:t>
            </w:r>
          </w:p>
        </w:tc>
      </w:tr>
      <w:tr w:rsidR="00F9763F" w:rsidRPr="00FD38F7" w14:paraId="043D60E3" w14:textId="77777777" w:rsidTr="006F7683">
        <w:trPr>
          <w:gridAfter w:val="1"/>
          <w:wAfter w:w="14" w:type="dxa"/>
          <w:trHeight w:val="388"/>
        </w:trPr>
        <w:tc>
          <w:tcPr>
            <w:tcW w:w="2448" w:type="dxa"/>
            <w:vAlign w:val="center"/>
          </w:tcPr>
          <w:p w14:paraId="00026108" w14:textId="77777777" w:rsidR="00F9763F" w:rsidRPr="00FD38F7" w:rsidRDefault="00F9763F" w:rsidP="009D5440">
            <w:pPr>
              <w:pStyle w:val="Tabletext9"/>
              <w:overflowPunct/>
              <w:autoSpaceDE/>
              <w:autoSpaceDN/>
              <w:adjustRightInd/>
              <w:spacing w:before="0" w:after="0" w:line="360" w:lineRule="auto"/>
              <w:textAlignment w:val="auto"/>
              <w:rPr>
                <w:rFonts w:ascii="Arial" w:hAnsi="Arial" w:cs="Arial"/>
                <w:color w:val="544F40"/>
                <w:kern w:val="0"/>
              </w:rPr>
            </w:pPr>
          </w:p>
        </w:tc>
        <w:tc>
          <w:tcPr>
            <w:tcW w:w="1988" w:type="dxa"/>
            <w:vAlign w:val="center"/>
          </w:tcPr>
          <w:p w14:paraId="76511046" w14:textId="77777777" w:rsidR="00F9763F" w:rsidRPr="00FD38F7" w:rsidRDefault="00F9763F" w:rsidP="009D5440">
            <w:pPr>
              <w:spacing w:line="360" w:lineRule="auto"/>
              <w:rPr>
                <w:rFonts w:ascii="Arial" w:hAnsi="Arial" w:cs="Arial"/>
                <w:color w:val="544F40"/>
                <w:sz w:val="18"/>
                <w:szCs w:val="18"/>
              </w:rPr>
            </w:pPr>
            <w:r w:rsidRPr="00FD38F7">
              <w:rPr>
                <w:rFonts w:ascii="Arial" w:hAnsi="Arial" w:cs="Arial"/>
                <w:color w:val="544F40"/>
                <w:sz w:val="18"/>
                <w:szCs w:val="18"/>
              </w:rPr>
              <w:t>James Dodwell</w:t>
            </w:r>
          </w:p>
        </w:tc>
        <w:tc>
          <w:tcPr>
            <w:tcW w:w="2299" w:type="dxa"/>
            <w:vAlign w:val="center"/>
          </w:tcPr>
          <w:p w14:paraId="1EEA3941" w14:textId="77777777" w:rsidR="00F9763F" w:rsidRPr="00FD38F7" w:rsidRDefault="00F9763F" w:rsidP="009D5440">
            <w:pPr>
              <w:pStyle w:val="Tabletext9"/>
              <w:overflowPunct/>
              <w:autoSpaceDE/>
              <w:spacing w:before="0" w:after="0" w:line="360" w:lineRule="auto"/>
              <w:rPr>
                <w:rFonts w:ascii="Arial" w:hAnsi="Arial" w:cs="Arial"/>
                <w:color w:val="544F40"/>
                <w:lang w:val="en-US"/>
              </w:rPr>
            </w:pPr>
            <w:r w:rsidRPr="00FD38F7">
              <w:rPr>
                <w:rFonts w:ascii="Arial" w:hAnsi="Arial" w:cs="Arial"/>
                <w:color w:val="544F40"/>
                <w:szCs w:val="18"/>
              </w:rPr>
              <w:t>+44 (0) 20 8047 2406</w:t>
            </w:r>
          </w:p>
        </w:tc>
        <w:tc>
          <w:tcPr>
            <w:tcW w:w="1886" w:type="dxa"/>
            <w:gridSpan w:val="2"/>
          </w:tcPr>
          <w:p w14:paraId="1AA34290" w14:textId="77777777" w:rsidR="00F9763F" w:rsidRPr="00FD38F7" w:rsidRDefault="00F9763F" w:rsidP="009D5440">
            <w:pPr>
              <w:pStyle w:val="Tabletext9"/>
              <w:overflowPunct/>
              <w:autoSpaceDE/>
              <w:spacing w:before="0" w:after="0" w:line="360" w:lineRule="auto"/>
              <w:rPr>
                <w:rFonts w:ascii="Arial" w:hAnsi="Arial" w:cs="Arial"/>
                <w:color w:val="544F40"/>
                <w:lang w:val="en-US"/>
              </w:rPr>
            </w:pPr>
            <w:r w:rsidRPr="00FD38F7">
              <w:rPr>
                <w:rFonts w:ascii="Arial" w:hAnsi="Arial" w:cs="Arial"/>
                <w:color w:val="544F40"/>
                <w:szCs w:val="18"/>
              </w:rPr>
              <w:t>(London)</w:t>
            </w:r>
          </w:p>
        </w:tc>
      </w:tr>
      <w:tr w:rsidR="00F9763F" w:rsidRPr="00FD38F7" w14:paraId="2574AB30" w14:textId="77777777" w:rsidTr="006F7683">
        <w:trPr>
          <w:gridAfter w:val="1"/>
          <w:wAfter w:w="14" w:type="dxa"/>
          <w:trHeight w:val="407"/>
        </w:trPr>
        <w:tc>
          <w:tcPr>
            <w:tcW w:w="2448" w:type="dxa"/>
            <w:vAlign w:val="center"/>
          </w:tcPr>
          <w:p w14:paraId="41BA9E62" w14:textId="77777777" w:rsidR="00F9763F" w:rsidRPr="00FD38F7" w:rsidRDefault="00F9763F" w:rsidP="009D5440">
            <w:pPr>
              <w:spacing w:line="360" w:lineRule="auto"/>
              <w:rPr>
                <w:rFonts w:ascii="Arial" w:hAnsi="Arial" w:cs="Arial"/>
                <w:color w:val="544F40"/>
                <w:sz w:val="18"/>
                <w:szCs w:val="18"/>
              </w:rPr>
            </w:pPr>
          </w:p>
        </w:tc>
        <w:tc>
          <w:tcPr>
            <w:tcW w:w="1988" w:type="dxa"/>
            <w:vAlign w:val="center"/>
          </w:tcPr>
          <w:p w14:paraId="2F5AFF1A" w14:textId="77777777" w:rsidR="00F9763F" w:rsidRPr="00FD38F7" w:rsidRDefault="00F9763F" w:rsidP="009D5440">
            <w:pPr>
              <w:spacing w:line="360" w:lineRule="auto"/>
              <w:rPr>
                <w:rFonts w:ascii="Arial" w:hAnsi="Arial" w:cs="Arial"/>
                <w:color w:val="544F40"/>
                <w:sz w:val="18"/>
                <w:szCs w:val="18"/>
              </w:rPr>
            </w:pPr>
            <w:r w:rsidRPr="00FD38F7">
              <w:rPr>
                <w:rFonts w:ascii="Arial" w:hAnsi="Arial" w:cs="Arial"/>
                <w:color w:val="544F40"/>
                <w:sz w:val="18"/>
                <w:szCs w:val="18"/>
              </w:rPr>
              <w:t>Jeff McLaughlin</w:t>
            </w:r>
          </w:p>
        </w:tc>
        <w:tc>
          <w:tcPr>
            <w:tcW w:w="2299" w:type="dxa"/>
            <w:vAlign w:val="center"/>
          </w:tcPr>
          <w:p w14:paraId="50F958B1" w14:textId="77777777" w:rsidR="00F9763F" w:rsidRPr="00FD38F7" w:rsidRDefault="00F9763F" w:rsidP="009D5440">
            <w:pPr>
              <w:spacing w:line="360" w:lineRule="auto"/>
              <w:rPr>
                <w:rFonts w:ascii="Arial" w:hAnsi="Arial" w:cs="Arial"/>
                <w:color w:val="544F40"/>
                <w:sz w:val="18"/>
                <w:szCs w:val="18"/>
              </w:rPr>
            </w:pPr>
            <w:r w:rsidRPr="00FD38F7">
              <w:rPr>
                <w:rFonts w:ascii="Arial" w:hAnsi="Arial" w:cs="Arial"/>
                <w:color w:val="544F40"/>
                <w:sz w:val="18"/>
                <w:szCs w:val="18"/>
              </w:rPr>
              <w:t>+1 215 751 7002</w:t>
            </w:r>
          </w:p>
        </w:tc>
        <w:tc>
          <w:tcPr>
            <w:tcW w:w="1886" w:type="dxa"/>
            <w:gridSpan w:val="2"/>
          </w:tcPr>
          <w:p w14:paraId="08CC6CC0" w14:textId="77777777" w:rsidR="00F9763F" w:rsidRPr="00FD38F7" w:rsidRDefault="00F9763F" w:rsidP="009D5440">
            <w:pPr>
              <w:spacing w:line="360" w:lineRule="auto"/>
              <w:rPr>
                <w:rFonts w:ascii="Arial" w:hAnsi="Arial" w:cs="Arial"/>
                <w:color w:val="544F40"/>
                <w:sz w:val="18"/>
                <w:szCs w:val="18"/>
              </w:rPr>
            </w:pPr>
            <w:r w:rsidRPr="00FD38F7">
              <w:rPr>
                <w:rFonts w:ascii="Arial" w:hAnsi="Arial" w:cs="Arial"/>
                <w:color w:val="544F40"/>
                <w:sz w:val="18"/>
                <w:szCs w:val="18"/>
              </w:rPr>
              <w:t>(Philadelphia)</w:t>
            </w:r>
          </w:p>
        </w:tc>
      </w:tr>
      <w:tr w:rsidR="00F9763F" w:rsidRPr="00FD38F7" w14:paraId="3BE364FE" w14:textId="77777777" w:rsidTr="006F7683">
        <w:trPr>
          <w:trHeight w:val="1200"/>
        </w:trPr>
        <w:tc>
          <w:tcPr>
            <w:tcW w:w="8635" w:type="dxa"/>
            <w:gridSpan w:val="6"/>
            <w:vAlign w:val="center"/>
          </w:tcPr>
          <w:p w14:paraId="60806BDD" w14:textId="77777777" w:rsidR="00AA4B7D" w:rsidRDefault="00AA4B7D" w:rsidP="009D5440">
            <w:pPr>
              <w:rPr>
                <w:rFonts w:ascii="Arial" w:hAnsi="Arial" w:cs="Arial"/>
                <w:b/>
                <w:bCs/>
                <w:color w:val="544F40"/>
                <w:sz w:val="15"/>
                <w:szCs w:val="15"/>
              </w:rPr>
            </w:pPr>
          </w:p>
          <w:p w14:paraId="6595DD9A" w14:textId="13DB560A" w:rsidR="00F9763F" w:rsidRPr="00802548" w:rsidRDefault="00F9763F" w:rsidP="009D5440">
            <w:pPr>
              <w:rPr>
                <w:rFonts w:ascii="Arial" w:hAnsi="Arial" w:cs="Arial"/>
                <w:b/>
                <w:bCs/>
                <w:color w:val="544F40"/>
                <w:sz w:val="15"/>
                <w:szCs w:val="15"/>
              </w:rPr>
            </w:pPr>
            <w:r w:rsidRPr="00802548">
              <w:rPr>
                <w:rFonts w:ascii="Arial" w:hAnsi="Arial" w:cs="Arial"/>
                <w:b/>
                <w:bCs/>
                <w:color w:val="544F40"/>
                <w:sz w:val="15"/>
                <w:szCs w:val="15"/>
              </w:rPr>
              <w:t>Cautionary statement regarding forward-looking statements</w:t>
            </w:r>
          </w:p>
          <w:p w14:paraId="41634E3D" w14:textId="77777777" w:rsidR="00F9763F" w:rsidRPr="00802548" w:rsidRDefault="00F9763F" w:rsidP="009D5440">
            <w:pPr>
              <w:rPr>
                <w:rFonts w:ascii="Arial" w:hAnsi="Arial" w:cs="Arial"/>
                <w:color w:val="544F40"/>
                <w:sz w:val="15"/>
                <w:szCs w:val="15"/>
              </w:rPr>
            </w:pPr>
            <w:r w:rsidRPr="00802548">
              <w:rPr>
                <w:rFonts w:ascii="Arial" w:hAnsi="Arial" w:cs="Arial"/>
                <w:color w:val="544F40"/>
                <w:sz w:val="15"/>
                <w:szCs w:val="15"/>
              </w:rPr>
              <w:t>GSK cautions investors that any forward-looking statements or projections made by GSK, including those made in this announcement, are subject to risks and uncertainties that may cause actual results to differ materially from those projected. Such factors include, but are not limited to, those described under Item 3.D 'Principal risks and uncertainties' in the company's Annual Report on Form 20-F for 2018.</w:t>
            </w:r>
          </w:p>
          <w:p w14:paraId="19BD4637" w14:textId="77777777" w:rsidR="00F9763F" w:rsidRDefault="00F9763F" w:rsidP="009D5440">
            <w:pPr>
              <w:rPr>
                <w:rFonts w:ascii="Arial" w:hAnsi="Arial" w:cs="Arial"/>
                <w:color w:val="544F40"/>
                <w:sz w:val="15"/>
                <w:szCs w:val="15"/>
              </w:rPr>
            </w:pPr>
          </w:p>
          <w:p w14:paraId="0D3B6D79" w14:textId="77777777" w:rsidR="00F9763F" w:rsidRPr="00633372" w:rsidRDefault="00F9763F" w:rsidP="009D5440">
            <w:pPr>
              <w:rPr>
                <w:rFonts w:ascii="Arial" w:hAnsi="Arial" w:cs="Arial"/>
                <w:color w:val="544F40"/>
                <w:sz w:val="15"/>
                <w:szCs w:val="15"/>
              </w:rPr>
            </w:pPr>
          </w:p>
        </w:tc>
      </w:tr>
      <w:tr w:rsidR="00F9763F" w:rsidRPr="00FD38F7" w14:paraId="49D2A238" w14:textId="77777777" w:rsidTr="006F7683">
        <w:tblPrEx>
          <w:tblLook w:val="01E0" w:firstRow="1" w:lastRow="1" w:firstColumn="1" w:lastColumn="1" w:noHBand="0" w:noVBand="0"/>
        </w:tblPrEx>
        <w:trPr>
          <w:gridAfter w:val="2"/>
          <w:wAfter w:w="437" w:type="dxa"/>
          <w:trHeight w:val="270"/>
        </w:trPr>
        <w:tc>
          <w:tcPr>
            <w:tcW w:w="8198" w:type="dxa"/>
            <w:gridSpan w:val="4"/>
          </w:tcPr>
          <w:p w14:paraId="1DA63A4B" w14:textId="77777777" w:rsidR="00F9763F" w:rsidRPr="00FD38F7" w:rsidRDefault="00F9763F" w:rsidP="009D5440">
            <w:pPr>
              <w:pStyle w:val="Footer"/>
              <w:tabs>
                <w:tab w:val="left" w:pos="7200"/>
              </w:tabs>
              <w:rPr>
                <w:rStyle w:val="PageNumber"/>
                <w:rFonts w:ascii="Arial" w:hAnsi="Arial"/>
                <w:snapToGrid w:val="0"/>
                <w:color w:val="544F40"/>
                <w:sz w:val="12"/>
                <w:szCs w:val="12"/>
              </w:rPr>
            </w:pPr>
            <w:r w:rsidRPr="00FD38F7">
              <w:rPr>
                <w:rStyle w:val="PageNumber"/>
                <w:rFonts w:ascii="Arial" w:hAnsi="Arial"/>
                <w:b/>
                <w:snapToGrid w:val="0"/>
                <w:color w:val="544F40"/>
                <w:sz w:val="12"/>
                <w:szCs w:val="12"/>
              </w:rPr>
              <w:t>Registered in England &amp; Wales:</w:t>
            </w:r>
          </w:p>
          <w:p w14:paraId="0D1716CE" w14:textId="77777777" w:rsidR="00F9763F" w:rsidRPr="00FD38F7" w:rsidRDefault="00F9763F" w:rsidP="009D5440">
            <w:pPr>
              <w:rPr>
                <w:color w:val="544F40"/>
                <w:sz w:val="12"/>
                <w:szCs w:val="12"/>
                <w:lang w:val="en-US"/>
              </w:rPr>
            </w:pPr>
            <w:r w:rsidRPr="00FD38F7">
              <w:rPr>
                <w:rStyle w:val="PageNumber"/>
                <w:rFonts w:ascii="Arial" w:hAnsi="Arial"/>
                <w:snapToGrid w:val="0"/>
                <w:color w:val="544F40"/>
                <w:sz w:val="12"/>
                <w:szCs w:val="12"/>
              </w:rPr>
              <w:t>No. 3888792</w:t>
            </w:r>
          </w:p>
        </w:tc>
      </w:tr>
      <w:tr w:rsidR="00F9763F" w:rsidRPr="00FD38F7" w14:paraId="701FC78D" w14:textId="77777777" w:rsidTr="006F7683">
        <w:tblPrEx>
          <w:tblLook w:val="01E0" w:firstRow="1" w:lastRow="1" w:firstColumn="1" w:lastColumn="1" w:noHBand="0" w:noVBand="0"/>
        </w:tblPrEx>
        <w:trPr>
          <w:gridAfter w:val="2"/>
          <w:wAfter w:w="437" w:type="dxa"/>
          <w:trHeight w:val="150"/>
        </w:trPr>
        <w:tc>
          <w:tcPr>
            <w:tcW w:w="8198" w:type="dxa"/>
            <w:gridSpan w:val="4"/>
          </w:tcPr>
          <w:p w14:paraId="30A61FD4" w14:textId="77777777" w:rsidR="00F9763F" w:rsidRPr="00FD38F7" w:rsidRDefault="00F9763F" w:rsidP="009D5440">
            <w:pPr>
              <w:pStyle w:val="Footer"/>
              <w:tabs>
                <w:tab w:val="left" w:pos="7200"/>
              </w:tabs>
              <w:rPr>
                <w:rStyle w:val="PageNumber"/>
                <w:rFonts w:ascii="Arial" w:hAnsi="Arial"/>
                <w:b/>
                <w:snapToGrid w:val="0"/>
                <w:color w:val="544F40"/>
                <w:sz w:val="12"/>
                <w:szCs w:val="12"/>
              </w:rPr>
            </w:pPr>
          </w:p>
        </w:tc>
      </w:tr>
      <w:tr w:rsidR="00F9763F" w:rsidRPr="00FD38F7" w14:paraId="71B33488" w14:textId="77777777" w:rsidTr="006F7683">
        <w:tblPrEx>
          <w:tblLook w:val="01E0" w:firstRow="1" w:lastRow="1" w:firstColumn="1" w:lastColumn="1" w:noHBand="0" w:noVBand="0"/>
        </w:tblPrEx>
        <w:trPr>
          <w:gridAfter w:val="2"/>
          <w:wAfter w:w="437" w:type="dxa"/>
          <w:trHeight w:val="540"/>
        </w:trPr>
        <w:tc>
          <w:tcPr>
            <w:tcW w:w="8198" w:type="dxa"/>
            <w:gridSpan w:val="4"/>
          </w:tcPr>
          <w:p w14:paraId="0E376DA1" w14:textId="77777777" w:rsidR="00F9763F" w:rsidRPr="00FD38F7" w:rsidRDefault="00F9763F" w:rsidP="009D5440">
            <w:pPr>
              <w:pStyle w:val="Footer"/>
              <w:tabs>
                <w:tab w:val="left" w:pos="7200"/>
              </w:tabs>
              <w:rPr>
                <w:rStyle w:val="PageNumber"/>
                <w:rFonts w:ascii="Arial" w:hAnsi="Arial"/>
                <w:snapToGrid w:val="0"/>
                <w:color w:val="544F40"/>
                <w:sz w:val="12"/>
                <w:szCs w:val="12"/>
              </w:rPr>
            </w:pPr>
            <w:r w:rsidRPr="00FD38F7">
              <w:rPr>
                <w:rStyle w:val="PageNumber"/>
                <w:rFonts w:ascii="Arial" w:hAnsi="Arial"/>
                <w:b/>
                <w:snapToGrid w:val="0"/>
                <w:color w:val="544F40"/>
                <w:sz w:val="12"/>
                <w:szCs w:val="12"/>
              </w:rPr>
              <w:lastRenderedPageBreak/>
              <w:t>Registered Office:</w:t>
            </w:r>
          </w:p>
          <w:p w14:paraId="7F756146" w14:textId="77777777" w:rsidR="00F9763F" w:rsidRPr="00FD38F7" w:rsidRDefault="00F9763F" w:rsidP="009D5440">
            <w:pPr>
              <w:pStyle w:val="Footer"/>
              <w:tabs>
                <w:tab w:val="left" w:pos="7200"/>
              </w:tabs>
              <w:rPr>
                <w:rStyle w:val="PageNumber"/>
                <w:rFonts w:ascii="Arial" w:hAnsi="Arial"/>
                <w:snapToGrid w:val="0"/>
                <w:color w:val="544F40"/>
                <w:sz w:val="12"/>
                <w:szCs w:val="12"/>
              </w:rPr>
            </w:pPr>
            <w:r w:rsidRPr="00FD38F7">
              <w:rPr>
                <w:rStyle w:val="PageNumber"/>
                <w:rFonts w:ascii="Arial" w:hAnsi="Arial"/>
                <w:snapToGrid w:val="0"/>
                <w:color w:val="544F40"/>
                <w:sz w:val="12"/>
                <w:szCs w:val="12"/>
              </w:rPr>
              <w:t>980 Great West Road</w:t>
            </w:r>
          </w:p>
          <w:p w14:paraId="5521A594" w14:textId="77777777" w:rsidR="00F9763F" w:rsidRPr="00FD38F7" w:rsidRDefault="00F9763F" w:rsidP="009D5440">
            <w:pPr>
              <w:pStyle w:val="Footer"/>
              <w:tabs>
                <w:tab w:val="left" w:pos="7200"/>
              </w:tabs>
              <w:rPr>
                <w:rStyle w:val="PageNumber"/>
                <w:rFonts w:ascii="Arial" w:hAnsi="Arial"/>
                <w:snapToGrid w:val="0"/>
                <w:color w:val="544F40"/>
                <w:sz w:val="12"/>
                <w:szCs w:val="12"/>
              </w:rPr>
            </w:pPr>
            <w:r w:rsidRPr="00FD38F7">
              <w:rPr>
                <w:rStyle w:val="PageNumber"/>
                <w:rFonts w:ascii="Arial" w:hAnsi="Arial"/>
                <w:snapToGrid w:val="0"/>
                <w:color w:val="544F40"/>
                <w:sz w:val="12"/>
                <w:szCs w:val="12"/>
              </w:rPr>
              <w:t>Brentford, Middlesex</w:t>
            </w:r>
          </w:p>
          <w:p w14:paraId="06D9EF05" w14:textId="77777777" w:rsidR="00F9763F" w:rsidRPr="00FD38F7" w:rsidRDefault="00F9763F" w:rsidP="009D5440">
            <w:pPr>
              <w:rPr>
                <w:color w:val="544F40"/>
                <w:sz w:val="12"/>
                <w:szCs w:val="12"/>
                <w:lang w:val="en-US"/>
              </w:rPr>
            </w:pPr>
            <w:r w:rsidRPr="00FD38F7">
              <w:rPr>
                <w:rStyle w:val="PageNumber"/>
                <w:rFonts w:ascii="Arial" w:hAnsi="Arial"/>
                <w:snapToGrid w:val="0"/>
                <w:color w:val="544F40"/>
                <w:sz w:val="12"/>
                <w:szCs w:val="12"/>
              </w:rPr>
              <w:t>TW8 9GS</w:t>
            </w:r>
          </w:p>
        </w:tc>
      </w:tr>
      <w:bookmarkEnd w:id="2"/>
      <w:bookmarkEnd w:id="3"/>
    </w:tbl>
    <w:p w14:paraId="4B0C1902" w14:textId="77777777" w:rsidR="00001DB8" w:rsidRPr="00001DB8" w:rsidRDefault="00001DB8" w:rsidP="006F7683">
      <w:pPr>
        <w:spacing w:before="100" w:beforeAutospacing="1" w:after="100" w:afterAutospacing="1"/>
        <w:rPr>
          <w:lang w:val="en-US"/>
        </w:rPr>
      </w:pPr>
    </w:p>
    <w:sectPr w:rsidR="00001DB8" w:rsidRPr="00001DB8" w:rsidSect="004743B2">
      <w:headerReference w:type="default" r:id="rId13"/>
      <w:footerReference w:type="even" r:id="rId14"/>
      <w:footerReference w:type="default" r:id="rId15"/>
      <w:headerReference w:type="first" r:id="rId16"/>
      <w:pgSz w:w="11906" w:h="16838"/>
      <w:pgMar w:top="1570" w:right="1440" w:bottom="1411" w:left="1440" w:header="709"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2C592" w14:textId="77777777" w:rsidR="00205FF7" w:rsidRDefault="00205FF7">
      <w:r>
        <w:separator/>
      </w:r>
    </w:p>
  </w:endnote>
  <w:endnote w:type="continuationSeparator" w:id="0">
    <w:p w14:paraId="557785E9" w14:textId="77777777" w:rsidR="00205FF7" w:rsidRDefault="0020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Arial Bold">
    <w:altName w:val="Times New Roman"/>
    <w:panose1 w:val="020B0604020202020204"/>
    <w:charset w:val="00"/>
    <w:family w:val="roman"/>
    <w:notTrueType/>
    <w:pitch w:val="default"/>
  </w:font>
  <w:font w:name="ArialMT">
    <w:altName w:val="Arial"/>
    <w:panose1 w:val="020B0604020202020204"/>
    <w:charset w:val="00"/>
    <w:family w:val="auto"/>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A58B" w14:textId="77777777" w:rsidR="009D5440" w:rsidRDefault="009D5440" w:rsidP="00013E9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D47AA46" w14:textId="77777777" w:rsidR="009D5440" w:rsidRDefault="009D5440" w:rsidP="00905AC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896F" w14:textId="3BF89A0E" w:rsidR="009D5440" w:rsidRPr="00905AC7" w:rsidRDefault="009D5440" w:rsidP="00013E9B">
    <w:pPr>
      <w:pStyle w:val="Footer"/>
      <w:framePr w:wrap="around" w:vAnchor="text" w:hAnchor="margin" w:y="1"/>
      <w:rPr>
        <w:rStyle w:val="PageNumber"/>
        <w:rFonts w:ascii="Arial" w:hAnsi="Arial"/>
        <w:sz w:val="16"/>
        <w:szCs w:val="16"/>
      </w:rPr>
    </w:pPr>
    <w:r w:rsidRPr="00905AC7">
      <w:rPr>
        <w:rStyle w:val="PageNumber"/>
        <w:rFonts w:ascii="Arial" w:hAnsi="Arial"/>
        <w:sz w:val="16"/>
        <w:szCs w:val="16"/>
      </w:rPr>
      <w:t xml:space="preserve">Page </w:t>
    </w:r>
    <w:r w:rsidRPr="00905AC7">
      <w:rPr>
        <w:rStyle w:val="PageNumber"/>
        <w:rFonts w:ascii="Arial" w:hAnsi="Arial"/>
        <w:sz w:val="16"/>
        <w:szCs w:val="16"/>
      </w:rPr>
      <w:fldChar w:fldCharType="begin"/>
    </w:r>
    <w:r w:rsidRPr="00905AC7">
      <w:rPr>
        <w:rStyle w:val="PageNumber"/>
        <w:rFonts w:ascii="Arial" w:hAnsi="Arial"/>
        <w:sz w:val="16"/>
        <w:szCs w:val="16"/>
      </w:rPr>
      <w:instrText xml:space="preserve">PAGE  </w:instrText>
    </w:r>
    <w:r w:rsidRPr="00905AC7">
      <w:rPr>
        <w:rStyle w:val="PageNumber"/>
        <w:rFonts w:ascii="Arial" w:hAnsi="Arial"/>
        <w:sz w:val="16"/>
        <w:szCs w:val="16"/>
      </w:rPr>
      <w:fldChar w:fldCharType="separate"/>
    </w:r>
    <w:r w:rsidR="00541552">
      <w:rPr>
        <w:rStyle w:val="PageNumber"/>
        <w:rFonts w:ascii="Arial" w:hAnsi="Arial"/>
        <w:noProof/>
        <w:sz w:val="16"/>
        <w:szCs w:val="16"/>
      </w:rPr>
      <w:t>4</w:t>
    </w:r>
    <w:r w:rsidRPr="00905AC7">
      <w:rPr>
        <w:rStyle w:val="PageNumber"/>
        <w:rFonts w:ascii="Arial" w:hAnsi="Arial"/>
        <w:sz w:val="16"/>
        <w:szCs w:val="16"/>
      </w:rPr>
      <w:fldChar w:fldCharType="end"/>
    </w:r>
  </w:p>
  <w:p w14:paraId="5A7645E2" w14:textId="77777777" w:rsidR="009D5440" w:rsidRPr="002A69B4" w:rsidRDefault="009D5440" w:rsidP="0044311E">
    <w:pPr>
      <w:pStyle w:val="Footer"/>
      <w:tabs>
        <w:tab w:val="left" w:pos="7200"/>
      </w:tabs>
      <w:ind w:firstLine="360"/>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FB27C" w14:textId="77777777" w:rsidR="00205FF7" w:rsidRDefault="00205FF7">
      <w:r>
        <w:separator/>
      </w:r>
    </w:p>
  </w:footnote>
  <w:footnote w:type="continuationSeparator" w:id="0">
    <w:p w14:paraId="6DB514DC" w14:textId="77777777" w:rsidR="00205FF7" w:rsidRDefault="00205FF7">
      <w:r>
        <w:continuationSeparator/>
      </w:r>
    </w:p>
  </w:footnote>
  <w:footnote w:id="1">
    <w:p w14:paraId="61D17F58" w14:textId="3A3A6734" w:rsidR="009D5440" w:rsidRPr="00C552EE" w:rsidRDefault="009D5440">
      <w:pPr>
        <w:pStyle w:val="FootnoteText"/>
        <w:rPr>
          <w:lang w:val="en-US"/>
        </w:rPr>
      </w:pPr>
      <w:r w:rsidRPr="009D5440">
        <w:rPr>
          <w:rStyle w:val="FootnoteReference"/>
        </w:rPr>
        <w:footnoteRef/>
      </w:r>
      <w:r w:rsidRPr="009D5440">
        <w:t xml:space="preserve"> </w:t>
      </w:r>
      <w:r w:rsidRPr="009D5440">
        <w:rPr>
          <w:rFonts w:ascii="TimesNewRomanPSMT" w:eastAsia="Times New Roman" w:hAnsi="TimesNewRomanPSMT"/>
        </w:rPr>
        <w:t>The GSK proprietary AS01 adjuvant system contains QS-21 Stimulon® adjuvant licensed from Antigenics LLC, a wholly owned subsidiary of Agenus Inc. (NASDAQ: AGEN), MPL and liposomes</w:t>
      </w:r>
    </w:p>
  </w:footnote>
  <w:footnote w:id="2">
    <w:p w14:paraId="7EB82658" w14:textId="39C3BCDD" w:rsidR="009D5440" w:rsidRPr="008C71D5" w:rsidRDefault="009D5440">
      <w:pPr>
        <w:pStyle w:val="FootnoteText"/>
        <w:rPr>
          <w:lang w:val="en-US"/>
        </w:rPr>
      </w:pPr>
      <w:r>
        <w:rPr>
          <w:rStyle w:val="FootnoteReference"/>
        </w:rPr>
        <w:footnoteRef/>
      </w:r>
      <w:r>
        <w:t xml:space="preserve"> </w:t>
      </w:r>
      <w:r w:rsidRPr="008C71D5">
        <w:t xml:space="preserve">WHO, Latent tuberculosis infection: updated and consolidated guidelines for programmatic management, </w:t>
      </w:r>
      <w:proofErr w:type="gramStart"/>
      <w:r w:rsidRPr="008C71D5">
        <w:t>2018</w:t>
      </w:r>
      <w:proofErr w:type="gramEnd"/>
    </w:p>
  </w:footnote>
  <w:footnote w:id="3">
    <w:p w14:paraId="7115A6D4" w14:textId="385EAE8B" w:rsidR="009D5440" w:rsidRPr="00C552EE" w:rsidRDefault="009D5440">
      <w:pPr>
        <w:pStyle w:val="FootnoteText"/>
        <w:rPr>
          <w:lang w:val="en-US"/>
        </w:rPr>
      </w:pPr>
      <w:r>
        <w:rPr>
          <w:rStyle w:val="FootnoteReference"/>
        </w:rPr>
        <w:footnoteRef/>
      </w:r>
      <w:r>
        <w:t xml:space="preserve"> </w:t>
      </w:r>
      <w:r w:rsidRPr="00C552EE">
        <w:rPr>
          <w:lang w:val="en-US"/>
        </w:rPr>
        <w:t xml:space="preserve">WHO, Global Tuberculosis Report, </w:t>
      </w:r>
      <w:proofErr w:type="gramStart"/>
      <w:r w:rsidRPr="00C552EE">
        <w:rPr>
          <w:lang w:val="en-US"/>
        </w:rPr>
        <w:t>2019</w:t>
      </w:r>
      <w:proofErr w:type="gramEnd"/>
    </w:p>
  </w:footnote>
  <w:footnote w:id="4">
    <w:p w14:paraId="2C3F23E7" w14:textId="2EB1C5E4" w:rsidR="00445DA9" w:rsidRPr="00445DA9" w:rsidRDefault="00445DA9">
      <w:pPr>
        <w:pStyle w:val="FootnoteText"/>
        <w:rPr>
          <w:lang w:val="en-US"/>
        </w:rPr>
      </w:pPr>
      <w:r>
        <w:rPr>
          <w:rStyle w:val="FootnoteReference"/>
        </w:rPr>
        <w:footnoteRef/>
      </w:r>
      <w:r>
        <w:t xml:space="preserve"> </w:t>
      </w:r>
      <w:r w:rsidRPr="00445DA9">
        <w:rPr>
          <w:lang w:val="en-US"/>
        </w:rPr>
        <w:t>WHO, Weekly Epidemiological Record, 23 February 2019, vol.93 (pp73-96</w:t>
      </w:r>
      <w:proofErr w:type="gramStart"/>
      <w:r w:rsidRPr="00445DA9">
        <w:rPr>
          <w:lang w:val="en-US"/>
        </w:rPr>
        <w:t>) :</w:t>
      </w:r>
      <w:proofErr w:type="gramEnd"/>
      <w:r w:rsidRPr="00445DA9">
        <w:rPr>
          <w:lang w:val="en-US"/>
        </w:rPr>
        <w:t xml:space="preserve"> BCG vaccines, WHO position paper</w:t>
      </w:r>
    </w:p>
  </w:footnote>
  <w:footnote w:id="5">
    <w:p w14:paraId="4D07F2A2" w14:textId="24EE3268" w:rsidR="009D5440" w:rsidRPr="00130FB1" w:rsidRDefault="009D5440">
      <w:pPr>
        <w:pStyle w:val="FootnoteText"/>
        <w:rPr>
          <w:lang w:val="en-US"/>
        </w:rPr>
      </w:pPr>
      <w:r>
        <w:rPr>
          <w:rStyle w:val="FootnoteReference"/>
        </w:rPr>
        <w:footnoteRef/>
      </w:r>
      <w:r w:rsidRPr="00130FB1">
        <w:rPr>
          <w:lang w:val="en-US"/>
        </w:rPr>
        <w:t xml:space="preserve"> </w:t>
      </w:r>
      <w:r w:rsidRPr="00130FB1">
        <w:rPr>
          <w:rFonts w:ascii="TimesNewRomanPSMT" w:eastAsia="Times New Roman" w:hAnsi="TimesNewRomanPSMT"/>
          <w:lang w:val="en-US"/>
        </w:rPr>
        <w:t>Sites in South Africa: SATVI, Task, Setshaba, Aurum-Klerksdorp, Aurum-Tembisa, PHRU, CIDRI, and Be Part; sites in Zambia: CIDRZ and Zambart; and site in Kenya: KEMRI.</w:t>
      </w:r>
    </w:p>
  </w:footnote>
  <w:footnote w:id="6">
    <w:p w14:paraId="538777F2" w14:textId="3C936FB6" w:rsidR="009D5440" w:rsidRPr="00C552EE" w:rsidRDefault="009D5440" w:rsidP="008C71D5">
      <w:pPr>
        <w:rPr>
          <w:lang w:val="en-US"/>
        </w:rPr>
      </w:pPr>
      <w:r>
        <w:rPr>
          <w:rStyle w:val="FootnoteReference"/>
        </w:rPr>
        <w:footnoteRef/>
      </w:r>
      <w:r w:rsidRPr="00F76586">
        <w:rPr>
          <w:rFonts w:ascii="TimesNewRomanPSMT" w:eastAsia="Times New Roman" w:hAnsi="TimesNewRomanPSMT"/>
          <w:sz w:val="20"/>
          <w:szCs w:val="20"/>
        </w:rPr>
        <w:t>Houben RM, Dodd PJ. The Global Burden of Latent Tuberculosis Infection: A Reestimation</w:t>
      </w:r>
      <w:r w:rsidRPr="00F76586">
        <w:rPr>
          <w:rFonts w:ascii="TimesNewRomanPSMT" w:eastAsia="Times New Roman" w:hAnsi="TimesNewRomanPSMT"/>
          <w:sz w:val="20"/>
          <w:szCs w:val="20"/>
        </w:rPr>
        <w:br/>
        <w:t>Using Mathematical Modelling. PLoS Med 2016;</w:t>
      </w:r>
      <w:proofErr w:type="gramStart"/>
      <w:r w:rsidRPr="00F76586">
        <w:rPr>
          <w:rFonts w:ascii="TimesNewRomanPSMT" w:eastAsia="Times New Roman" w:hAnsi="TimesNewRomanPSMT"/>
          <w:sz w:val="20"/>
          <w:szCs w:val="20"/>
        </w:rPr>
        <w:t>13:e</w:t>
      </w:r>
      <w:proofErr w:type="gramEnd"/>
      <w:r w:rsidRPr="00F76586">
        <w:rPr>
          <w:rFonts w:ascii="TimesNewRomanPSMT" w:eastAsia="Times New Roman" w:hAnsi="TimesNewRomanPSMT"/>
          <w:sz w:val="20"/>
          <w:szCs w:val="20"/>
        </w:rPr>
        <w:t xml:space="preserve">1002152 </w:t>
      </w:r>
    </w:p>
  </w:footnote>
  <w:footnote w:id="7">
    <w:p w14:paraId="0F116246" w14:textId="7A3B6966" w:rsidR="009D5440" w:rsidRPr="008C71D5" w:rsidRDefault="009D5440" w:rsidP="008C71D5">
      <w:pPr>
        <w:pStyle w:val="FootnoteText"/>
        <w:rPr>
          <w:lang w:val="en-US"/>
        </w:rPr>
      </w:pPr>
      <w:r>
        <w:rPr>
          <w:rStyle w:val="FootnoteReference"/>
        </w:rPr>
        <w:footnoteRef/>
      </w:r>
      <w:r>
        <w:t xml:space="preserve"> </w:t>
      </w:r>
      <w:proofErr w:type="gramStart"/>
      <w:r>
        <w:rPr>
          <w:rFonts w:ascii="TimesNewRomanPSMT" w:eastAsia="Times New Roman" w:hAnsi="TimesNewRomanPSMT"/>
        </w:rPr>
        <w:t>WHO</w:t>
      </w:r>
      <w:r w:rsidRPr="00F76586">
        <w:rPr>
          <w:rFonts w:ascii="TimesNewRomanPSMT" w:eastAsia="Times New Roman" w:hAnsi="TimesNewRomanPSMT"/>
        </w:rPr>
        <w:t>.</w:t>
      </w:r>
      <w:proofErr w:type="gramEnd"/>
      <w:r w:rsidRPr="00F76586">
        <w:rPr>
          <w:rFonts w:ascii="TimesNewRomanPSMT" w:eastAsia="Times New Roman" w:hAnsi="TimesNewRomanPSMT"/>
        </w:rPr>
        <w:t xml:space="preserve"> Global Tuberculosis Report</w:t>
      </w:r>
      <w:r>
        <w:rPr>
          <w:rFonts w:ascii="TimesNewRomanPSMT" w:eastAsia="Times New Roman" w:hAnsi="TimesNewRomanPSMT"/>
        </w:rPr>
        <w:t>,</w:t>
      </w:r>
      <w:r w:rsidRPr="00F76586">
        <w:rPr>
          <w:rFonts w:ascii="TimesNewRomanPSMT" w:eastAsia="Times New Roman" w:hAnsi="TimesNewRomanPSMT"/>
        </w:rPr>
        <w:t xml:space="preserve"> 2019 </w:t>
      </w:r>
    </w:p>
  </w:footnote>
  <w:footnote w:id="8">
    <w:p w14:paraId="25DAB388" w14:textId="050E5341" w:rsidR="009D5440" w:rsidRPr="00C552EE" w:rsidRDefault="009D5440" w:rsidP="008C71D5">
      <w:pPr>
        <w:pStyle w:val="FootnoteText"/>
        <w:rPr>
          <w:lang w:val="en-US"/>
        </w:rPr>
      </w:pPr>
      <w:r>
        <w:rPr>
          <w:rStyle w:val="FootnoteReference"/>
        </w:rPr>
        <w:footnoteRef/>
      </w:r>
      <w:r>
        <w:t xml:space="preserve"> </w:t>
      </w:r>
      <w:r w:rsidRPr="00F76586">
        <w:rPr>
          <w:rFonts w:ascii="TimesNewRomanPSMT" w:eastAsia="Times New Roman" w:hAnsi="TimesNewRomanPSMT"/>
        </w:rPr>
        <w:t>Dheda K, Gumbo T, Maartens G, et al. The epidemiology, pathogenesis, transmission, diagnosis, and management of multidrug-resistant, extensively drug-resistant, and incurable tuberculosis. Lancet Respir Med 2017; 5:291-360</w:t>
      </w:r>
    </w:p>
  </w:footnote>
  <w:footnote w:id="9">
    <w:p w14:paraId="489E25CC" w14:textId="595EF0D7" w:rsidR="009D5440" w:rsidRPr="005A2755" w:rsidRDefault="009D5440" w:rsidP="008C71D5">
      <w:pPr>
        <w:rPr>
          <w:rFonts w:eastAsia="Times New Roman"/>
        </w:rPr>
      </w:pPr>
      <w:r>
        <w:rPr>
          <w:rStyle w:val="FootnoteReference"/>
        </w:rPr>
        <w:footnoteRef/>
      </w:r>
      <w:r w:rsidRPr="00F76586">
        <w:rPr>
          <w:rFonts w:ascii="TimesNewRomanPSMT" w:eastAsia="Times New Roman" w:hAnsi="TimesNewRomanPSMT"/>
          <w:sz w:val="20"/>
          <w:szCs w:val="20"/>
        </w:rPr>
        <w:t xml:space="preserve">Harris RC, Sumner T, Knight GM, White RG. Systematic review of mathematical models exploring the epidemiological impact of future TB vaccines. Hum Vaccin Immunother </w:t>
      </w:r>
      <w:proofErr w:type="gramStart"/>
      <w:r w:rsidRPr="00F76586">
        <w:rPr>
          <w:rFonts w:ascii="TimesNewRomanPSMT" w:eastAsia="Times New Roman" w:hAnsi="TimesNewRomanPSMT"/>
          <w:sz w:val="20"/>
          <w:szCs w:val="20"/>
        </w:rPr>
        <w:t>2016;12:2813</w:t>
      </w:r>
      <w:proofErr w:type="gramEnd"/>
      <w:r w:rsidRPr="00F76586">
        <w:rPr>
          <w:rFonts w:ascii="TimesNewRomanPSMT" w:eastAsia="Times New Roman" w:hAnsi="TimesNewRomanPSMT"/>
          <w:sz w:val="20"/>
          <w:szCs w:val="20"/>
        </w:rPr>
        <w:t>-32</w:t>
      </w:r>
      <w:r w:rsidRPr="005A2755">
        <w:rPr>
          <w:rFonts w:ascii="TimesNewRomanPSMT" w:eastAsia="Times New Roman" w:hAnsi="TimesNewRomanPSMT"/>
          <w:sz w:val="20"/>
          <w:szCs w:val="20"/>
        </w:rPr>
        <w:t xml:space="preserve"> </w:t>
      </w:r>
    </w:p>
    <w:p w14:paraId="22FC6CBB" w14:textId="6F3BACEE" w:rsidR="009D5440" w:rsidRPr="008C71D5" w:rsidRDefault="009D5440">
      <w:pPr>
        <w:pStyle w:val="FootnoteText"/>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781"/>
    </w:tblGrid>
    <w:tr w:rsidR="009D5440" w14:paraId="43F4415F" w14:textId="77777777" w:rsidTr="00FD0E7D">
      <w:trPr>
        <w:trHeight w:val="765"/>
      </w:trPr>
      <w:tc>
        <w:tcPr>
          <w:tcW w:w="4336" w:type="dxa"/>
          <w:vAlign w:val="center"/>
        </w:tcPr>
        <w:p w14:paraId="11808D8A" w14:textId="77777777" w:rsidR="009D5440" w:rsidRPr="002C2641" w:rsidRDefault="009D5440" w:rsidP="002C2641">
          <w:pPr>
            <w:pStyle w:val="Header"/>
            <w:rPr>
              <w:rFonts w:ascii="Arial" w:hAnsi="Arial"/>
              <w:b/>
              <w:sz w:val="20"/>
              <w:szCs w:val="20"/>
            </w:rPr>
          </w:pPr>
          <w:r w:rsidRPr="002C2641">
            <w:rPr>
              <w:rFonts w:ascii="Arial" w:hAnsi="Arial"/>
              <w:b/>
              <w:sz w:val="20"/>
              <w:szCs w:val="20"/>
            </w:rPr>
            <w:t>PRESS</w:t>
          </w:r>
          <w:r w:rsidRPr="002C2641">
            <w:rPr>
              <w:rFonts w:ascii="Arial" w:hAnsi="Arial"/>
              <w:b/>
              <w:sz w:val="20"/>
              <w:szCs w:val="20"/>
            </w:rPr>
            <w:br/>
            <w:t>RELEASE</w:t>
          </w:r>
        </w:p>
      </w:tc>
      <w:tc>
        <w:tcPr>
          <w:tcW w:w="4892" w:type="dxa"/>
        </w:tcPr>
        <w:p w14:paraId="0BC29C56" w14:textId="0BE65352" w:rsidR="009D5440" w:rsidRDefault="009D5440" w:rsidP="002C2641">
          <w:pPr>
            <w:pStyle w:val="Header"/>
            <w:jc w:val="right"/>
            <w:rPr>
              <w:rFonts w:ascii="Arial" w:hAnsi="Arial"/>
              <w:sz w:val="20"/>
              <w:szCs w:val="20"/>
            </w:rPr>
          </w:pPr>
          <w:r>
            <w:rPr>
              <w:rFonts w:eastAsia="Times New Roman"/>
              <w:noProof/>
            </w:rPr>
            <w:drawing>
              <wp:inline distT="0" distB="0" distL="0" distR="0" wp14:anchorId="1E171F79" wp14:editId="40E911F8">
                <wp:extent cx="489600" cy="435600"/>
                <wp:effectExtent l="0" t="0" r="5715" b="3175"/>
                <wp:docPr id="3" name="Picture 3" descr="cid:4581D2C1-9A55-48E3-B7F7-360460023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F69A8-8DE1-4031-ADE2-94D29F2261C4" descr="cid:4581D2C1-9A55-48E3-B7F7-360460023CC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9600" cy="435600"/>
                        </a:xfrm>
                        <a:prstGeom prst="rect">
                          <a:avLst/>
                        </a:prstGeom>
                        <a:noFill/>
                        <a:ln>
                          <a:noFill/>
                        </a:ln>
                      </pic:spPr>
                    </pic:pic>
                  </a:graphicData>
                </a:graphic>
              </wp:inline>
            </w:drawing>
          </w:r>
          <w:r>
            <w:rPr>
              <w:rFonts w:ascii="Arial" w:hAnsi="Arial"/>
              <w:noProof/>
              <w:sz w:val="20"/>
              <w:szCs w:val="20"/>
              <w:lang w:eastAsia="en-GB"/>
            </w:rPr>
            <w:drawing>
              <wp:inline distT="0" distB="0" distL="0" distR="0" wp14:anchorId="5C745D81" wp14:editId="773416DF">
                <wp:extent cx="476250" cy="476250"/>
                <wp:effectExtent l="0" t="0" r="0" b="0"/>
                <wp:docPr id="6" name="Picture 3" descr="C:\Documents and Settings\spq39386\My Documents\GSK brand\New GSK logos for digital\gsk-logo-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pq39386\My Documents\GSK brand\New GSK logos for digital\gsk-logo-50.png"/>
                        <pic:cNvPicPr>
                          <a:picLocks noChangeAspect="1" noChangeArrowheads="1"/>
                        </pic:cNvPicPr>
                      </pic:nvPicPr>
                      <pic:blipFill>
                        <a:blip r:embed="rId3"/>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r>
  </w:tbl>
  <w:p w14:paraId="0C7CA0D9" w14:textId="77777777" w:rsidR="009D5440" w:rsidRPr="006173F7" w:rsidRDefault="009D5440">
    <w:pPr>
      <w:pStyle w:val="Header"/>
      <w:rPr>
        <w:rFonts w:ascii="Arial" w:hAnsi="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4697"/>
    </w:tblGrid>
    <w:tr w:rsidR="009D5440" w14:paraId="5AEC683B" w14:textId="77777777" w:rsidTr="00FD0E7D">
      <w:trPr>
        <w:trHeight w:val="1262"/>
      </w:trPr>
      <w:tc>
        <w:tcPr>
          <w:tcW w:w="4411" w:type="dxa"/>
          <w:vAlign w:val="center"/>
        </w:tcPr>
        <w:p w14:paraId="3E73C7F6" w14:textId="7ED2E0E5" w:rsidR="009D5440" w:rsidRPr="002C2641" w:rsidRDefault="009D5440" w:rsidP="002C2641">
          <w:pPr>
            <w:pStyle w:val="Header"/>
            <w:rPr>
              <w:rFonts w:ascii="Arial" w:hAnsi="Arial" w:cs="Arial"/>
              <w:b/>
              <w:sz w:val="40"/>
              <w:szCs w:val="40"/>
            </w:rPr>
          </w:pPr>
          <w:r w:rsidRPr="002C2641">
            <w:rPr>
              <w:rFonts w:ascii="Arial" w:hAnsi="Arial" w:cs="Arial"/>
              <w:b/>
              <w:sz w:val="40"/>
              <w:szCs w:val="40"/>
            </w:rPr>
            <w:t xml:space="preserve">PRESS </w:t>
          </w:r>
          <w:r w:rsidRPr="002C2641">
            <w:rPr>
              <w:rFonts w:ascii="Arial" w:hAnsi="Arial" w:cs="Arial"/>
              <w:b/>
              <w:sz w:val="40"/>
              <w:szCs w:val="40"/>
            </w:rPr>
            <w:br/>
            <w:t>RELEASE</w:t>
          </w:r>
        </w:p>
      </w:tc>
      <w:tc>
        <w:tcPr>
          <w:tcW w:w="4817" w:type="dxa"/>
        </w:tcPr>
        <w:p w14:paraId="7ACB0E31" w14:textId="70D40CC6" w:rsidR="009D5440" w:rsidRDefault="009D5440" w:rsidP="000C4161">
          <w:pPr>
            <w:pStyle w:val="Header"/>
            <w:jc w:val="right"/>
          </w:pPr>
          <w:r>
            <w:rPr>
              <w:rFonts w:eastAsia="Times New Roman"/>
              <w:noProof/>
            </w:rPr>
            <w:drawing>
              <wp:inline distT="0" distB="0" distL="0" distR="0" wp14:anchorId="11FAFC26" wp14:editId="2C04F756">
                <wp:extent cx="777600" cy="691200"/>
                <wp:effectExtent l="0" t="0" r="3810" b="0"/>
                <wp:docPr id="2" name="Picture 2" descr="cid:4581D2C1-9A55-48E3-B7F7-360460023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F69A8-8DE1-4031-ADE2-94D29F2261C4" descr="cid:4581D2C1-9A55-48E3-B7F7-360460023CC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77600" cy="691200"/>
                        </a:xfrm>
                        <a:prstGeom prst="rect">
                          <a:avLst/>
                        </a:prstGeom>
                        <a:noFill/>
                        <a:ln>
                          <a:noFill/>
                        </a:ln>
                      </pic:spPr>
                    </pic:pic>
                  </a:graphicData>
                </a:graphic>
              </wp:inline>
            </w:drawing>
          </w:r>
          <w:r>
            <w:rPr>
              <w:noProof/>
              <w:lang w:eastAsia="en-GB"/>
            </w:rPr>
            <w:drawing>
              <wp:inline distT="0" distB="0" distL="0" distR="0" wp14:anchorId="245E5044" wp14:editId="5139FFDE">
                <wp:extent cx="714375" cy="714375"/>
                <wp:effectExtent l="19050" t="0" r="9525" b="0"/>
                <wp:docPr id="5" name="Picture 2" descr="C:\Documents and Settings\spq39386\My Documents\GSK brand\New GSK logos for digital\gsk-logo-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pq39386\My Documents\GSK brand\New GSK logos for digital\gsk-logo-75.png"/>
                        <pic:cNvPicPr>
                          <a:picLocks noChangeAspect="1" noChangeArrowheads="1"/>
                        </pic:cNvPicPr>
                      </pic:nvPicPr>
                      <pic:blipFill>
                        <a:blip r:embed="rId3"/>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r>
  </w:tbl>
  <w:p w14:paraId="3A679825" w14:textId="77777777" w:rsidR="009D5440" w:rsidRDefault="009D5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06D6"/>
    <w:multiLevelType w:val="hybridMultilevel"/>
    <w:tmpl w:val="FF70FC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FE737B"/>
    <w:multiLevelType w:val="hybridMultilevel"/>
    <w:tmpl w:val="2E6C7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D374C"/>
    <w:multiLevelType w:val="hybridMultilevel"/>
    <w:tmpl w:val="51A6C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776D75"/>
    <w:multiLevelType w:val="hybridMultilevel"/>
    <w:tmpl w:val="E47C0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D8539D"/>
    <w:multiLevelType w:val="hybridMultilevel"/>
    <w:tmpl w:val="24D8EE66"/>
    <w:lvl w:ilvl="0" w:tplc="CBBA5A00">
      <w:numFmt w:val="bullet"/>
      <w:lvlText w:val="-"/>
      <w:lvlJc w:val="left"/>
      <w:pPr>
        <w:ind w:left="360" w:hanging="360"/>
      </w:pPr>
      <w:rPr>
        <w:rFonts w:ascii="Arial" w:eastAsia="MS Mincho"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73554E"/>
    <w:multiLevelType w:val="hybridMultilevel"/>
    <w:tmpl w:val="A42A8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F3C"/>
    <w:rsid w:val="00000669"/>
    <w:rsid w:val="00001DB8"/>
    <w:rsid w:val="00011815"/>
    <w:rsid w:val="0001356D"/>
    <w:rsid w:val="00013E9B"/>
    <w:rsid w:val="00017611"/>
    <w:rsid w:val="0002295A"/>
    <w:rsid w:val="0002329E"/>
    <w:rsid w:val="00026B5F"/>
    <w:rsid w:val="00030C40"/>
    <w:rsid w:val="00030C50"/>
    <w:rsid w:val="00030C5C"/>
    <w:rsid w:val="00031794"/>
    <w:rsid w:val="00037221"/>
    <w:rsid w:val="00043A3E"/>
    <w:rsid w:val="00052328"/>
    <w:rsid w:val="00064FE3"/>
    <w:rsid w:val="00072661"/>
    <w:rsid w:val="00072D92"/>
    <w:rsid w:val="00074C6B"/>
    <w:rsid w:val="0007763D"/>
    <w:rsid w:val="00081233"/>
    <w:rsid w:val="00084C8D"/>
    <w:rsid w:val="000940B5"/>
    <w:rsid w:val="0009535F"/>
    <w:rsid w:val="000A605E"/>
    <w:rsid w:val="000B02A4"/>
    <w:rsid w:val="000C351F"/>
    <w:rsid w:val="000C4161"/>
    <w:rsid w:val="000C4B04"/>
    <w:rsid w:val="000C4E9C"/>
    <w:rsid w:val="000C6353"/>
    <w:rsid w:val="000D67F8"/>
    <w:rsid w:val="000F076D"/>
    <w:rsid w:val="000F27B1"/>
    <w:rsid w:val="00107E48"/>
    <w:rsid w:val="00114367"/>
    <w:rsid w:val="00116F03"/>
    <w:rsid w:val="00120B47"/>
    <w:rsid w:val="001217B7"/>
    <w:rsid w:val="001228E8"/>
    <w:rsid w:val="00122C04"/>
    <w:rsid w:val="001304B9"/>
    <w:rsid w:val="00130FB1"/>
    <w:rsid w:val="001332A3"/>
    <w:rsid w:val="00133EA5"/>
    <w:rsid w:val="00137222"/>
    <w:rsid w:val="00140259"/>
    <w:rsid w:val="0014116D"/>
    <w:rsid w:val="00141576"/>
    <w:rsid w:val="00145608"/>
    <w:rsid w:val="00161F90"/>
    <w:rsid w:val="001639E3"/>
    <w:rsid w:val="00175D16"/>
    <w:rsid w:val="00180073"/>
    <w:rsid w:val="0018273F"/>
    <w:rsid w:val="00185029"/>
    <w:rsid w:val="00185BE9"/>
    <w:rsid w:val="0019001A"/>
    <w:rsid w:val="0019291C"/>
    <w:rsid w:val="00195ABB"/>
    <w:rsid w:val="001960D6"/>
    <w:rsid w:val="001A40A7"/>
    <w:rsid w:val="001B0781"/>
    <w:rsid w:val="001B3B86"/>
    <w:rsid w:val="001B4054"/>
    <w:rsid w:val="001B7323"/>
    <w:rsid w:val="001C10C3"/>
    <w:rsid w:val="001C4AE4"/>
    <w:rsid w:val="001C51E7"/>
    <w:rsid w:val="001E0D97"/>
    <w:rsid w:val="001F049F"/>
    <w:rsid w:val="002016F2"/>
    <w:rsid w:val="00205FF7"/>
    <w:rsid w:val="00210658"/>
    <w:rsid w:val="002313C0"/>
    <w:rsid w:val="00240D52"/>
    <w:rsid w:val="0025323B"/>
    <w:rsid w:val="0026148F"/>
    <w:rsid w:val="00262AC6"/>
    <w:rsid w:val="0026337C"/>
    <w:rsid w:val="00270D61"/>
    <w:rsid w:val="0027269B"/>
    <w:rsid w:val="00275871"/>
    <w:rsid w:val="00283D30"/>
    <w:rsid w:val="0029228E"/>
    <w:rsid w:val="002A69B4"/>
    <w:rsid w:val="002A7993"/>
    <w:rsid w:val="002B4952"/>
    <w:rsid w:val="002B4F7A"/>
    <w:rsid w:val="002B795A"/>
    <w:rsid w:val="002C2641"/>
    <w:rsid w:val="002C2F29"/>
    <w:rsid w:val="002C3D0C"/>
    <w:rsid w:val="002D0613"/>
    <w:rsid w:val="002D7480"/>
    <w:rsid w:val="002E2A0A"/>
    <w:rsid w:val="002F3587"/>
    <w:rsid w:val="002F4D09"/>
    <w:rsid w:val="002F4D7F"/>
    <w:rsid w:val="00307706"/>
    <w:rsid w:val="0031213E"/>
    <w:rsid w:val="00330ECB"/>
    <w:rsid w:val="003336D4"/>
    <w:rsid w:val="00335EBB"/>
    <w:rsid w:val="003378F7"/>
    <w:rsid w:val="00344F7B"/>
    <w:rsid w:val="003536E4"/>
    <w:rsid w:val="00356BB8"/>
    <w:rsid w:val="003579E2"/>
    <w:rsid w:val="00363546"/>
    <w:rsid w:val="00366129"/>
    <w:rsid w:val="00370065"/>
    <w:rsid w:val="003769C4"/>
    <w:rsid w:val="00390DB0"/>
    <w:rsid w:val="00395222"/>
    <w:rsid w:val="00396C0A"/>
    <w:rsid w:val="003A1BD1"/>
    <w:rsid w:val="003A4A70"/>
    <w:rsid w:val="003A4EC3"/>
    <w:rsid w:val="003B0D10"/>
    <w:rsid w:val="003B1D30"/>
    <w:rsid w:val="003B726F"/>
    <w:rsid w:val="003C47A1"/>
    <w:rsid w:val="003D3CB5"/>
    <w:rsid w:val="003E4800"/>
    <w:rsid w:val="003E76C0"/>
    <w:rsid w:val="003F39DA"/>
    <w:rsid w:val="003F7467"/>
    <w:rsid w:val="004055FC"/>
    <w:rsid w:val="00415BF3"/>
    <w:rsid w:val="0042762C"/>
    <w:rsid w:val="0043131A"/>
    <w:rsid w:val="0044311E"/>
    <w:rsid w:val="00445DA9"/>
    <w:rsid w:val="00466A8A"/>
    <w:rsid w:val="00466E54"/>
    <w:rsid w:val="004715B5"/>
    <w:rsid w:val="004736A1"/>
    <w:rsid w:val="004743B2"/>
    <w:rsid w:val="004773B3"/>
    <w:rsid w:val="00484BB3"/>
    <w:rsid w:val="004861A0"/>
    <w:rsid w:val="0049399D"/>
    <w:rsid w:val="004A290E"/>
    <w:rsid w:val="004A58EC"/>
    <w:rsid w:val="004A6023"/>
    <w:rsid w:val="004A6EBA"/>
    <w:rsid w:val="004C14F0"/>
    <w:rsid w:val="004C3655"/>
    <w:rsid w:val="004D13D8"/>
    <w:rsid w:val="004E1BD9"/>
    <w:rsid w:val="004E7C01"/>
    <w:rsid w:val="004F3FCD"/>
    <w:rsid w:val="004F5AEE"/>
    <w:rsid w:val="004F729D"/>
    <w:rsid w:val="004F74B2"/>
    <w:rsid w:val="00500CDF"/>
    <w:rsid w:val="005012F3"/>
    <w:rsid w:val="00532B5B"/>
    <w:rsid w:val="00535E13"/>
    <w:rsid w:val="00541552"/>
    <w:rsid w:val="0054500F"/>
    <w:rsid w:val="00560667"/>
    <w:rsid w:val="00582980"/>
    <w:rsid w:val="00592441"/>
    <w:rsid w:val="00592A41"/>
    <w:rsid w:val="00592FC2"/>
    <w:rsid w:val="0059601D"/>
    <w:rsid w:val="005979DA"/>
    <w:rsid w:val="00597D34"/>
    <w:rsid w:val="005A0B39"/>
    <w:rsid w:val="005B321B"/>
    <w:rsid w:val="005C525B"/>
    <w:rsid w:val="005C65BE"/>
    <w:rsid w:val="005D37AA"/>
    <w:rsid w:val="005D4710"/>
    <w:rsid w:val="005E112D"/>
    <w:rsid w:val="005E24B2"/>
    <w:rsid w:val="005E33E4"/>
    <w:rsid w:val="005F0DF9"/>
    <w:rsid w:val="006019BC"/>
    <w:rsid w:val="006057D4"/>
    <w:rsid w:val="00613B5F"/>
    <w:rsid w:val="006140AE"/>
    <w:rsid w:val="006150D5"/>
    <w:rsid w:val="006171DE"/>
    <w:rsid w:val="006173F7"/>
    <w:rsid w:val="00617C4A"/>
    <w:rsid w:val="00620411"/>
    <w:rsid w:val="00626A1A"/>
    <w:rsid w:val="006351FC"/>
    <w:rsid w:val="00637F5E"/>
    <w:rsid w:val="006422D6"/>
    <w:rsid w:val="006434FB"/>
    <w:rsid w:val="0065236F"/>
    <w:rsid w:val="006608E2"/>
    <w:rsid w:val="00664823"/>
    <w:rsid w:val="006665CA"/>
    <w:rsid w:val="00672DFE"/>
    <w:rsid w:val="00675299"/>
    <w:rsid w:val="00690518"/>
    <w:rsid w:val="00693D4C"/>
    <w:rsid w:val="00694716"/>
    <w:rsid w:val="00697E5D"/>
    <w:rsid w:val="006A4042"/>
    <w:rsid w:val="006A6695"/>
    <w:rsid w:val="006B3B78"/>
    <w:rsid w:val="006B66C8"/>
    <w:rsid w:val="006B7D0C"/>
    <w:rsid w:val="006C0AF9"/>
    <w:rsid w:val="006D57DF"/>
    <w:rsid w:val="006D67B7"/>
    <w:rsid w:val="006F02EB"/>
    <w:rsid w:val="006F205C"/>
    <w:rsid w:val="006F7683"/>
    <w:rsid w:val="007007CF"/>
    <w:rsid w:val="00703DAA"/>
    <w:rsid w:val="007074BB"/>
    <w:rsid w:val="00707B8E"/>
    <w:rsid w:val="00712D41"/>
    <w:rsid w:val="00716567"/>
    <w:rsid w:val="00717F76"/>
    <w:rsid w:val="00720025"/>
    <w:rsid w:val="00726A01"/>
    <w:rsid w:val="00736145"/>
    <w:rsid w:val="00740123"/>
    <w:rsid w:val="00745981"/>
    <w:rsid w:val="00745B93"/>
    <w:rsid w:val="007504E1"/>
    <w:rsid w:val="00755552"/>
    <w:rsid w:val="00762889"/>
    <w:rsid w:val="007677FC"/>
    <w:rsid w:val="00767E35"/>
    <w:rsid w:val="0077573F"/>
    <w:rsid w:val="00776242"/>
    <w:rsid w:val="0078184B"/>
    <w:rsid w:val="00784EB8"/>
    <w:rsid w:val="00785A50"/>
    <w:rsid w:val="00790E9C"/>
    <w:rsid w:val="00793D9A"/>
    <w:rsid w:val="00797408"/>
    <w:rsid w:val="007A0C4B"/>
    <w:rsid w:val="007A224A"/>
    <w:rsid w:val="007A7410"/>
    <w:rsid w:val="007A76F5"/>
    <w:rsid w:val="007B76DB"/>
    <w:rsid w:val="007D32F3"/>
    <w:rsid w:val="007D5A94"/>
    <w:rsid w:val="007E1B6C"/>
    <w:rsid w:val="007E25B3"/>
    <w:rsid w:val="007E37AA"/>
    <w:rsid w:val="007E6E1E"/>
    <w:rsid w:val="00801F88"/>
    <w:rsid w:val="008029FF"/>
    <w:rsid w:val="008075F6"/>
    <w:rsid w:val="00816849"/>
    <w:rsid w:val="00821974"/>
    <w:rsid w:val="00827D6C"/>
    <w:rsid w:val="00830406"/>
    <w:rsid w:val="00832C30"/>
    <w:rsid w:val="00833D5D"/>
    <w:rsid w:val="00834BFE"/>
    <w:rsid w:val="00834CF6"/>
    <w:rsid w:val="00835B11"/>
    <w:rsid w:val="008371D1"/>
    <w:rsid w:val="00837E41"/>
    <w:rsid w:val="008516F5"/>
    <w:rsid w:val="00853F44"/>
    <w:rsid w:val="008737D9"/>
    <w:rsid w:val="00875EF2"/>
    <w:rsid w:val="0088037D"/>
    <w:rsid w:val="00882FA7"/>
    <w:rsid w:val="00884BD6"/>
    <w:rsid w:val="00884DBA"/>
    <w:rsid w:val="0089125C"/>
    <w:rsid w:val="00891D63"/>
    <w:rsid w:val="008951A0"/>
    <w:rsid w:val="008A022F"/>
    <w:rsid w:val="008A5022"/>
    <w:rsid w:val="008A57B5"/>
    <w:rsid w:val="008A5CF9"/>
    <w:rsid w:val="008B02E9"/>
    <w:rsid w:val="008B1FE1"/>
    <w:rsid w:val="008B22EC"/>
    <w:rsid w:val="008C21F2"/>
    <w:rsid w:val="008C4B77"/>
    <w:rsid w:val="008C71D5"/>
    <w:rsid w:val="008D23B0"/>
    <w:rsid w:val="008D454F"/>
    <w:rsid w:val="008E00F4"/>
    <w:rsid w:val="008E4713"/>
    <w:rsid w:val="008F00A7"/>
    <w:rsid w:val="008F3960"/>
    <w:rsid w:val="00900672"/>
    <w:rsid w:val="00904009"/>
    <w:rsid w:val="00905AC7"/>
    <w:rsid w:val="009152C9"/>
    <w:rsid w:val="00922784"/>
    <w:rsid w:val="00923020"/>
    <w:rsid w:val="009251D8"/>
    <w:rsid w:val="00926848"/>
    <w:rsid w:val="009330AB"/>
    <w:rsid w:val="009374A9"/>
    <w:rsid w:val="00942F9F"/>
    <w:rsid w:val="00951D61"/>
    <w:rsid w:val="00953229"/>
    <w:rsid w:val="00955E76"/>
    <w:rsid w:val="00960AE2"/>
    <w:rsid w:val="00966133"/>
    <w:rsid w:val="00976BDF"/>
    <w:rsid w:val="00983822"/>
    <w:rsid w:val="00984B5F"/>
    <w:rsid w:val="009850B3"/>
    <w:rsid w:val="00986490"/>
    <w:rsid w:val="00990209"/>
    <w:rsid w:val="009910EB"/>
    <w:rsid w:val="009A1BFB"/>
    <w:rsid w:val="009B0C9E"/>
    <w:rsid w:val="009B50C8"/>
    <w:rsid w:val="009C7BBB"/>
    <w:rsid w:val="009D2866"/>
    <w:rsid w:val="009D5440"/>
    <w:rsid w:val="009E026C"/>
    <w:rsid w:val="009E5E02"/>
    <w:rsid w:val="009E7C12"/>
    <w:rsid w:val="009F7BB3"/>
    <w:rsid w:val="00A10A75"/>
    <w:rsid w:val="00A1660D"/>
    <w:rsid w:val="00A25A74"/>
    <w:rsid w:val="00A2796D"/>
    <w:rsid w:val="00A32103"/>
    <w:rsid w:val="00A32D11"/>
    <w:rsid w:val="00A47793"/>
    <w:rsid w:val="00A50EE1"/>
    <w:rsid w:val="00A54253"/>
    <w:rsid w:val="00A60BD9"/>
    <w:rsid w:val="00A61794"/>
    <w:rsid w:val="00A64782"/>
    <w:rsid w:val="00A6659D"/>
    <w:rsid w:val="00A72FC5"/>
    <w:rsid w:val="00A736EF"/>
    <w:rsid w:val="00A80EA8"/>
    <w:rsid w:val="00A93AD8"/>
    <w:rsid w:val="00A947FA"/>
    <w:rsid w:val="00AA1B7D"/>
    <w:rsid w:val="00AA3A12"/>
    <w:rsid w:val="00AA4B7D"/>
    <w:rsid w:val="00AB114F"/>
    <w:rsid w:val="00AC1BB2"/>
    <w:rsid w:val="00AC33AD"/>
    <w:rsid w:val="00AD09C1"/>
    <w:rsid w:val="00AD7501"/>
    <w:rsid w:val="00AE57A9"/>
    <w:rsid w:val="00AF2A4A"/>
    <w:rsid w:val="00B124C9"/>
    <w:rsid w:val="00B21FAD"/>
    <w:rsid w:val="00B23562"/>
    <w:rsid w:val="00B31416"/>
    <w:rsid w:val="00B323C1"/>
    <w:rsid w:val="00B32468"/>
    <w:rsid w:val="00B4128E"/>
    <w:rsid w:val="00B42205"/>
    <w:rsid w:val="00B42994"/>
    <w:rsid w:val="00B469F9"/>
    <w:rsid w:val="00B626CF"/>
    <w:rsid w:val="00B635EC"/>
    <w:rsid w:val="00B649A3"/>
    <w:rsid w:val="00B654B8"/>
    <w:rsid w:val="00B705DA"/>
    <w:rsid w:val="00B84BB6"/>
    <w:rsid w:val="00B872AC"/>
    <w:rsid w:val="00B91FD2"/>
    <w:rsid w:val="00B96FC5"/>
    <w:rsid w:val="00B973A0"/>
    <w:rsid w:val="00B97CB3"/>
    <w:rsid w:val="00BA2338"/>
    <w:rsid w:val="00BA30BA"/>
    <w:rsid w:val="00BB165B"/>
    <w:rsid w:val="00BC4121"/>
    <w:rsid w:val="00BD2ED3"/>
    <w:rsid w:val="00BD351B"/>
    <w:rsid w:val="00BD7880"/>
    <w:rsid w:val="00BE6B75"/>
    <w:rsid w:val="00BF76D2"/>
    <w:rsid w:val="00C02F9D"/>
    <w:rsid w:val="00C0504F"/>
    <w:rsid w:val="00C05395"/>
    <w:rsid w:val="00C12947"/>
    <w:rsid w:val="00C3063D"/>
    <w:rsid w:val="00C31670"/>
    <w:rsid w:val="00C33338"/>
    <w:rsid w:val="00C3357C"/>
    <w:rsid w:val="00C33EE8"/>
    <w:rsid w:val="00C40233"/>
    <w:rsid w:val="00C40DC9"/>
    <w:rsid w:val="00C4166E"/>
    <w:rsid w:val="00C47AD2"/>
    <w:rsid w:val="00C52DDB"/>
    <w:rsid w:val="00C552EE"/>
    <w:rsid w:val="00C55932"/>
    <w:rsid w:val="00C605D0"/>
    <w:rsid w:val="00C67C17"/>
    <w:rsid w:val="00CA5573"/>
    <w:rsid w:val="00CB0B08"/>
    <w:rsid w:val="00CB5E80"/>
    <w:rsid w:val="00CB67EE"/>
    <w:rsid w:val="00CC5934"/>
    <w:rsid w:val="00CC5B49"/>
    <w:rsid w:val="00CC6EBE"/>
    <w:rsid w:val="00CD23AD"/>
    <w:rsid w:val="00CE5D3C"/>
    <w:rsid w:val="00CF566D"/>
    <w:rsid w:val="00D01D75"/>
    <w:rsid w:val="00D01F40"/>
    <w:rsid w:val="00D12E85"/>
    <w:rsid w:val="00D161C4"/>
    <w:rsid w:val="00D17F22"/>
    <w:rsid w:val="00D21E5E"/>
    <w:rsid w:val="00D32EC9"/>
    <w:rsid w:val="00D363EF"/>
    <w:rsid w:val="00D40881"/>
    <w:rsid w:val="00D43EBD"/>
    <w:rsid w:val="00D447FB"/>
    <w:rsid w:val="00D45935"/>
    <w:rsid w:val="00D511CC"/>
    <w:rsid w:val="00D52C05"/>
    <w:rsid w:val="00D63FEB"/>
    <w:rsid w:val="00D64478"/>
    <w:rsid w:val="00D67FB4"/>
    <w:rsid w:val="00D70F89"/>
    <w:rsid w:val="00D75D8F"/>
    <w:rsid w:val="00D77D03"/>
    <w:rsid w:val="00D81492"/>
    <w:rsid w:val="00D84B7C"/>
    <w:rsid w:val="00D853F4"/>
    <w:rsid w:val="00D908F1"/>
    <w:rsid w:val="00D91CE4"/>
    <w:rsid w:val="00D935C7"/>
    <w:rsid w:val="00D9704C"/>
    <w:rsid w:val="00D97E2D"/>
    <w:rsid w:val="00DB1E9E"/>
    <w:rsid w:val="00DB32F9"/>
    <w:rsid w:val="00DB43F2"/>
    <w:rsid w:val="00DC03EB"/>
    <w:rsid w:val="00DC0AF3"/>
    <w:rsid w:val="00DC25D8"/>
    <w:rsid w:val="00DD4885"/>
    <w:rsid w:val="00DE3548"/>
    <w:rsid w:val="00DF0790"/>
    <w:rsid w:val="00DF5AC2"/>
    <w:rsid w:val="00E05BD2"/>
    <w:rsid w:val="00E12711"/>
    <w:rsid w:val="00E15614"/>
    <w:rsid w:val="00E16BF6"/>
    <w:rsid w:val="00E178EB"/>
    <w:rsid w:val="00E20E22"/>
    <w:rsid w:val="00E26777"/>
    <w:rsid w:val="00E27259"/>
    <w:rsid w:val="00E32843"/>
    <w:rsid w:val="00E3398F"/>
    <w:rsid w:val="00E4242A"/>
    <w:rsid w:val="00E5184E"/>
    <w:rsid w:val="00E53583"/>
    <w:rsid w:val="00E60587"/>
    <w:rsid w:val="00E61110"/>
    <w:rsid w:val="00E61732"/>
    <w:rsid w:val="00E63CFB"/>
    <w:rsid w:val="00E6407A"/>
    <w:rsid w:val="00E73642"/>
    <w:rsid w:val="00E8018A"/>
    <w:rsid w:val="00E80DAB"/>
    <w:rsid w:val="00E83F9A"/>
    <w:rsid w:val="00E84A79"/>
    <w:rsid w:val="00E869AC"/>
    <w:rsid w:val="00E877C8"/>
    <w:rsid w:val="00E92FF8"/>
    <w:rsid w:val="00E973B2"/>
    <w:rsid w:val="00EA1972"/>
    <w:rsid w:val="00EA1B78"/>
    <w:rsid w:val="00EA2F3C"/>
    <w:rsid w:val="00EA524A"/>
    <w:rsid w:val="00EB06C1"/>
    <w:rsid w:val="00EB2351"/>
    <w:rsid w:val="00EC3AA8"/>
    <w:rsid w:val="00EC55CD"/>
    <w:rsid w:val="00EC6126"/>
    <w:rsid w:val="00EC666B"/>
    <w:rsid w:val="00ED16EF"/>
    <w:rsid w:val="00ED175A"/>
    <w:rsid w:val="00ED5F98"/>
    <w:rsid w:val="00EE1436"/>
    <w:rsid w:val="00EE2D55"/>
    <w:rsid w:val="00EF0425"/>
    <w:rsid w:val="00EF2874"/>
    <w:rsid w:val="00EF5E58"/>
    <w:rsid w:val="00EF7E48"/>
    <w:rsid w:val="00F02DC4"/>
    <w:rsid w:val="00F041C5"/>
    <w:rsid w:val="00F04BEA"/>
    <w:rsid w:val="00F04D93"/>
    <w:rsid w:val="00F16237"/>
    <w:rsid w:val="00F22D92"/>
    <w:rsid w:val="00F30DBD"/>
    <w:rsid w:val="00F36439"/>
    <w:rsid w:val="00F41EF2"/>
    <w:rsid w:val="00F451B7"/>
    <w:rsid w:val="00F50514"/>
    <w:rsid w:val="00F61837"/>
    <w:rsid w:val="00F65F61"/>
    <w:rsid w:val="00F72A91"/>
    <w:rsid w:val="00F76586"/>
    <w:rsid w:val="00F769F4"/>
    <w:rsid w:val="00F808C4"/>
    <w:rsid w:val="00F819CC"/>
    <w:rsid w:val="00F85D85"/>
    <w:rsid w:val="00F86CD9"/>
    <w:rsid w:val="00F911B1"/>
    <w:rsid w:val="00F97161"/>
    <w:rsid w:val="00F9763F"/>
    <w:rsid w:val="00F97EBD"/>
    <w:rsid w:val="00FA0525"/>
    <w:rsid w:val="00FA110A"/>
    <w:rsid w:val="00FA403C"/>
    <w:rsid w:val="00FA4107"/>
    <w:rsid w:val="00FA4607"/>
    <w:rsid w:val="00FB220D"/>
    <w:rsid w:val="00FB26F5"/>
    <w:rsid w:val="00FC2048"/>
    <w:rsid w:val="00FC5E6A"/>
    <w:rsid w:val="00FD0E7D"/>
    <w:rsid w:val="00FD10A4"/>
    <w:rsid w:val="00FD5077"/>
    <w:rsid w:val="00FD6F94"/>
    <w:rsid w:val="00FF00F8"/>
    <w:rsid w:val="00FF1DBE"/>
    <w:rsid w:val="00FF1ED2"/>
    <w:rsid w:val="00FF2224"/>
    <w:rsid w:val="00FF2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5C1F0"/>
  <w15:docId w15:val="{9A30C1FA-B588-4912-BF7F-D6AB5B92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4AE4"/>
    <w:rPr>
      <w:sz w:val="24"/>
      <w:szCs w:val="24"/>
      <w:lang w:eastAsia="ja-JP"/>
    </w:rPr>
  </w:style>
  <w:style w:type="paragraph" w:styleId="Heading1">
    <w:name w:val="heading 1"/>
    <w:basedOn w:val="Normal"/>
    <w:next w:val="Normal"/>
    <w:link w:val="Heading1Char"/>
    <w:qFormat/>
    <w:rsid w:val="00AD7501"/>
    <w:pPr>
      <w:keepNext/>
      <w:jc w:val="center"/>
      <w:outlineLvl w:val="0"/>
    </w:pPr>
    <w:rPr>
      <w:rFonts w:ascii="Arial" w:eastAsia="Times New Roman" w:hAnsi="Arial"/>
      <w:b/>
      <w:smallCaps/>
      <w:lang w:eastAsia="en-US"/>
    </w:rPr>
  </w:style>
  <w:style w:type="paragraph" w:styleId="Heading2">
    <w:name w:val="heading 2"/>
    <w:basedOn w:val="Normal"/>
    <w:next w:val="Normal"/>
    <w:qFormat/>
    <w:rsid w:val="00E2725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511CC"/>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3A4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semiHidden/>
    <w:rsid w:val="003A4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ne-NP"/>
    </w:rPr>
  </w:style>
  <w:style w:type="paragraph" w:styleId="Header">
    <w:name w:val="header"/>
    <w:basedOn w:val="Normal"/>
    <w:semiHidden/>
    <w:rsid w:val="00592FC2"/>
    <w:pPr>
      <w:tabs>
        <w:tab w:val="center" w:pos="4153"/>
        <w:tab w:val="right" w:pos="8306"/>
      </w:tabs>
    </w:pPr>
  </w:style>
  <w:style w:type="paragraph" w:styleId="Footer">
    <w:name w:val="footer"/>
    <w:basedOn w:val="Normal"/>
    <w:link w:val="FooterChar"/>
    <w:rsid w:val="00592FC2"/>
    <w:pPr>
      <w:tabs>
        <w:tab w:val="center" w:pos="4153"/>
        <w:tab w:val="right" w:pos="8306"/>
      </w:tabs>
    </w:pPr>
  </w:style>
  <w:style w:type="paragraph" w:styleId="BodyTextIndent">
    <w:name w:val="Body Text Indent"/>
    <w:basedOn w:val="Normal"/>
    <w:semiHidden/>
    <w:rsid w:val="008951A0"/>
    <w:pPr>
      <w:ind w:left="720" w:hanging="720"/>
    </w:pPr>
    <w:rPr>
      <w:rFonts w:ascii="Arial" w:eastAsia="Times New Roman" w:hAnsi="Arial"/>
      <w:sz w:val="22"/>
      <w:szCs w:val="20"/>
      <w:lang w:eastAsia="en-US"/>
    </w:rPr>
  </w:style>
  <w:style w:type="paragraph" w:customStyle="1" w:styleId="CharCharCharCharCharCharCharCharCharCharCharCharCharCharChar">
    <w:name w:val="Char Char Char Char Char Char Char Char Char Char Char Char Char Char Char"/>
    <w:basedOn w:val="Normal"/>
    <w:semiHidden/>
    <w:rsid w:val="008951A0"/>
    <w:pPr>
      <w:spacing w:after="160" w:line="240" w:lineRule="exact"/>
    </w:pPr>
    <w:rPr>
      <w:rFonts w:ascii="Verdana" w:eastAsia="Times New Roman" w:hAnsi="Verdana" w:cs="Verdana"/>
      <w:sz w:val="20"/>
      <w:szCs w:val="20"/>
      <w:lang w:val="en-US" w:eastAsia="en-US"/>
    </w:rPr>
  </w:style>
  <w:style w:type="paragraph" w:customStyle="1" w:styleId="CharCharCharCharChar">
    <w:name w:val="Char Char Char Char Char"/>
    <w:basedOn w:val="Normal"/>
    <w:semiHidden/>
    <w:rsid w:val="00B91FD2"/>
    <w:pPr>
      <w:widowControl w:val="0"/>
      <w:adjustRightInd w:val="0"/>
      <w:spacing w:after="160" w:line="240" w:lineRule="exact"/>
      <w:jc w:val="both"/>
      <w:textAlignment w:val="baseline"/>
    </w:pPr>
    <w:rPr>
      <w:rFonts w:ascii="Verdana" w:eastAsia="Times New Roman" w:hAnsi="Verdana" w:cs="Verdana"/>
      <w:sz w:val="20"/>
      <w:szCs w:val="20"/>
      <w:lang w:val="en-US" w:eastAsia="en-US"/>
    </w:rPr>
  </w:style>
  <w:style w:type="paragraph" w:styleId="BalloonText">
    <w:name w:val="Balloon Text"/>
    <w:basedOn w:val="Normal"/>
    <w:semiHidden/>
    <w:rsid w:val="009C7BBB"/>
    <w:rPr>
      <w:rFonts w:ascii="Tahoma" w:hAnsi="Tahoma"/>
      <w:sz w:val="16"/>
      <w:szCs w:val="16"/>
    </w:rPr>
  </w:style>
  <w:style w:type="paragraph" w:styleId="BodyText2">
    <w:name w:val="Body Text 2"/>
    <w:basedOn w:val="Normal"/>
    <w:semiHidden/>
    <w:rsid w:val="00AD7501"/>
    <w:pPr>
      <w:spacing w:after="120" w:line="480" w:lineRule="auto"/>
    </w:pPr>
  </w:style>
  <w:style w:type="paragraph" w:customStyle="1" w:styleId="CharChar">
    <w:name w:val="Char Char"/>
    <w:basedOn w:val="Normal"/>
    <w:semiHidden/>
    <w:rsid w:val="00AD7501"/>
    <w:pPr>
      <w:spacing w:after="160" w:line="240" w:lineRule="exact"/>
    </w:pPr>
    <w:rPr>
      <w:rFonts w:ascii="Verdana" w:eastAsia="Batang" w:hAnsi="Verdana"/>
      <w:sz w:val="20"/>
      <w:szCs w:val="20"/>
      <w:lang w:val="en-US" w:eastAsia="en-US"/>
    </w:rPr>
  </w:style>
  <w:style w:type="paragraph" w:styleId="BodyText">
    <w:name w:val="Body Text"/>
    <w:basedOn w:val="Normal"/>
    <w:link w:val="BodyTextChar"/>
    <w:semiHidden/>
    <w:rsid w:val="00E27259"/>
    <w:pPr>
      <w:spacing w:after="120"/>
    </w:pPr>
  </w:style>
  <w:style w:type="paragraph" w:customStyle="1" w:styleId="Tabletext9">
    <w:name w:val="!Tabletext9"/>
    <w:basedOn w:val="Normal"/>
    <w:rsid w:val="00E27259"/>
    <w:pPr>
      <w:overflowPunct w:val="0"/>
      <w:autoSpaceDE w:val="0"/>
      <w:autoSpaceDN w:val="0"/>
      <w:adjustRightInd w:val="0"/>
      <w:spacing w:before="40" w:after="40"/>
      <w:textAlignment w:val="baseline"/>
    </w:pPr>
    <w:rPr>
      <w:rFonts w:ascii="Helvetica" w:eastAsia="Times New Roman" w:hAnsi="Helvetica"/>
      <w:kern w:val="2"/>
      <w:sz w:val="18"/>
      <w:lang w:eastAsia="en-US"/>
    </w:rPr>
  </w:style>
  <w:style w:type="character" w:styleId="PageNumber">
    <w:name w:val="page number"/>
    <w:basedOn w:val="DefaultParagraphFont"/>
    <w:semiHidden/>
    <w:rsid w:val="003A1BD1"/>
  </w:style>
  <w:style w:type="paragraph" w:customStyle="1" w:styleId="MainBodycopy">
    <w:name w:val="Main Body copy"/>
    <w:basedOn w:val="BodyText"/>
    <w:link w:val="MainBodycopyChar"/>
    <w:rsid w:val="00B323C1"/>
    <w:pPr>
      <w:spacing w:before="60" w:after="12" w:line="220" w:lineRule="exact"/>
    </w:pPr>
    <w:rPr>
      <w:rFonts w:ascii="Arial" w:hAnsi="Arial"/>
      <w:color w:val="000000"/>
      <w:sz w:val="20"/>
    </w:rPr>
  </w:style>
  <w:style w:type="paragraph" w:customStyle="1" w:styleId="PR-Issueddate">
    <w:name w:val="PR - Issued date"/>
    <w:basedOn w:val="Normal"/>
    <w:rsid w:val="00026B5F"/>
    <w:rPr>
      <w:rFonts w:ascii="Arial" w:hAnsi="Arial"/>
      <w:color w:val="000000"/>
      <w:sz w:val="20"/>
      <w:szCs w:val="20"/>
    </w:rPr>
  </w:style>
  <w:style w:type="paragraph" w:customStyle="1" w:styleId="PR-SubHeadingtitle">
    <w:name w:val="PR - Sub Heading (title)"/>
    <w:basedOn w:val="Normal"/>
    <w:link w:val="PR-SubHeadingtitleChar"/>
    <w:rsid w:val="00026B5F"/>
    <w:rPr>
      <w:rFonts w:ascii="Arial Bold" w:hAnsi="Arial Bold"/>
      <w:b/>
      <w:bCs/>
      <w:color w:val="333333"/>
      <w:sz w:val="28"/>
      <w:szCs w:val="22"/>
    </w:rPr>
  </w:style>
  <w:style w:type="character" w:customStyle="1" w:styleId="BodyTextChar">
    <w:name w:val="Body Text Char"/>
    <w:basedOn w:val="DefaultParagraphFont"/>
    <w:link w:val="BodyText"/>
    <w:rsid w:val="00D43EBD"/>
    <w:rPr>
      <w:rFonts w:eastAsia="MS Mincho"/>
      <w:sz w:val="24"/>
      <w:szCs w:val="24"/>
      <w:lang w:val="en-GB" w:eastAsia="ja-JP" w:bidi="ar-SA"/>
    </w:rPr>
  </w:style>
  <w:style w:type="character" w:customStyle="1" w:styleId="MainBodycopyChar">
    <w:name w:val="Main Body copy Char"/>
    <w:basedOn w:val="BodyTextChar"/>
    <w:link w:val="MainBodycopy"/>
    <w:rsid w:val="00D43EBD"/>
    <w:rPr>
      <w:rFonts w:ascii="Arial" w:eastAsia="MS Mincho" w:hAnsi="Arial"/>
      <w:color w:val="000000"/>
      <w:sz w:val="24"/>
      <w:szCs w:val="24"/>
      <w:lang w:val="en-GB" w:eastAsia="ja-JP" w:bidi="ar-SA"/>
    </w:rPr>
  </w:style>
  <w:style w:type="character" w:customStyle="1" w:styleId="PR-SubHeadingtitleChar">
    <w:name w:val="PR - Sub Heading (title) Char"/>
    <w:basedOn w:val="DefaultParagraphFont"/>
    <w:link w:val="PR-SubHeadingtitle"/>
    <w:rsid w:val="00026B5F"/>
    <w:rPr>
      <w:rFonts w:ascii="Arial Bold" w:eastAsia="MS Mincho" w:hAnsi="Arial Bold"/>
      <w:b/>
      <w:bCs/>
      <w:color w:val="333333"/>
      <w:sz w:val="28"/>
      <w:szCs w:val="22"/>
      <w:lang w:val="en-GB" w:eastAsia="ja-JP" w:bidi="ar-SA"/>
    </w:rPr>
  </w:style>
  <w:style w:type="character" w:styleId="Hyperlink">
    <w:name w:val="Hyperlink"/>
    <w:basedOn w:val="DefaultParagraphFont"/>
    <w:rsid w:val="005E24B2"/>
    <w:rPr>
      <w:color w:val="0000FF"/>
      <w:u w:val="single"/>
    </w:rPr>
  </w:style>
  <w:style w:type="paragraph" w:customStyle="1" w:styleId="PR-MainBodyText">
    <w:name w:val="PR - Main Body Text"/>
    <w:basedOn w:val="Normal"/>
    <w:rsid w:val="00B96FC5"/>
    <w:pPr>
      <w:spacing w:before="60" w:after="12" w:line="220" w:lineRule="exact"/>
    </w:pPr>
    <w:rPr>
      <w:rFonts w:ascii="Arial" w:hAnsi="Arial" w:cs="Arial"/>
      <w:color w:val="333333"/>
      <w:sz w:val="20"/>
      <w:szCs w:val="20"/>
    </w:rPr>
  </w:style>
  <w:style w:type="paragraph" w:customStyle="1" w:styleId="PR-MainTitle">
    <w:name w:val="PR -  Main Title"/>
    <w:basedOn w:val="Normal"/>
    <w:rsid w:val="00B96FC5"/>
    <w:rPr>
      <w:rFonts w:ascii="Arial" w:hAnsi="Arial"/>
      <w:b/>
      <w:sz w:val="36"/>
      <w:szCs w:val="20"/>
    </w:rPr>
  </w:style>
  <w:style w:type="paragraph" w:customStyle="1" w:styleId="PR-SubHeadingbodytext">
    <w:name w:val="PR - Sub Heading (body text)"/>
    <w:basedOn w:val="Normal"/>
    <w:rsid w:val="00B96FC5"/>
    <w:pPr>
      <w:spacing w:before="60" w:after="12"/>
    </w:pPr>
    <w:rPr>
      <w:rFonts w:ascii="Arial Bold" w:hAnsi="Arial Bold" w:cs="Arial"/>
      <w:b/>
      <w:bCs/>
      <w:color w:val="333333"/>
    </w:rPr>
  </w:style>
  <w:style w:type="paragraph" w:customStyle="1" w:styleId="PR-GSKBoilerplate">
    <w:name w:val="PR - GSK Boilerplate"/>
    <w:basedOn w:val="MainBodycopy"/>
    <w:rsid w:val="00B96FC5"/>
  </w:style>
  <w:style w:type="paragraph" w:customStyle="1" w:styleId="PR-GSKCautionarystatement">
    <w:name w:val="PR - GSK Cautionary statement"/>
    <w:basedOn w:val="MainBodycopy"/>
    <w:rsid w:val="00B96FC5"/>
    <w:pPr>
      <w:spacing w:before="0" w:after="0" w:line="240" w:lineRule="auto"/>
    </w:pPr>
    <w:rPr>
      <w:sz w:val="16"/>
      <w:szCs w:val="16"/>
    </w:rPr>
  </w:style>
  <w:style w:type="paragraph" w:styleId="ListParagraph">
    <w:name w:val="List Paragraph"/>
    <w:basedOn w:val="Normal"/>
    <w:uiPriority w:val="34"/>
    <w:qFormat/>
    <w:rsid w:val="00AA1B7D"/>
    <w:pPr>
      <w:ind w:left="720"/>
      <w:contextualSpacing/>
    </w:pPr>
  </w:style>
  <w:style w:type="character" w:customStyle="1" w:styleId="Heading1Char">
    <w:name w:val="Heading 1 Char"/>
    <w:basedOn w:val="DefaultParagraphFont"/>
    <w:link w:val="Heading1"/>
    <w:rsid w:val="00AA1B7D"/>
    <w:rPr>
      <w:rFonts w:ascii="Arial" w:eastAsia="Times New Roman" w:hAnsi="Arial"/>
      <w:b/>
      <w:smallCaps/>
      <w:sz w:val="24"/>
      <w:szCs w:val="24"/>
      <w:lang w:eastAsia="en-US"/>
    </w:rPr>
  </w:style>
  <w:style w:type="character" w:customStyle="1" w:styleId="FooterChar">
    <w:name w:val="Footer Char"/>
    <w:basedOn w:val="DefaultParagraphFont"/>
    <w:link w:val="Footer"/>
    <w:rsid w:val="00F9763F"/>
    <w:rPr>
      <w:sz w:val="24"/>
      <w:szCs w:val="24"/>
      <w:lang w:eastAsia="ja-JP"/>
    </w:rPr>
  </w:style>
  <w:style w:type="character" w:styleId="UnresolvedMention">
    <w:name w:val="Unresolved Mention"/>
    <w:basedOn w:val="DefaultParagraphFont"/>
    <w:uiPriority w:val="99"/>
    <w:semiHidden/>
    <w:unhideWhenUsed/>
    <w:rsid w:val="00BB165B"/>
    <w:rPr>
      <w:color w:val="808080"/>
      <w:shd w:val="clear" w:color="auto" w:fill="E6E6E6"/>
    </w:rPr>
  </w:style>
  <w:style w:type="paragraph" w:styleId="FootnoteText">
    <w:name w:val="footnote text"/>
    <w:basedOn w:val="Normal"/>
    <w:link w:val="FootnoteTextChar"/>
    <w:uiPriority w:val="99"/>
    <w:semiHidden/>
    <w:unhideWhenUsed/>
    <w:rsid w:val="00AD09C1"/>
    <w:rPr>
      <w:sz w:val="20"/>
      <w:szCs w:val="20"/>
    </w:rPr>
  </w:style>
  <w:style w:type="character" w:customStyle="1" w:styleId="FootnoteTextChar">
    <w:name w:val="Footnote Text Char"/>
    <w:basedOn w:val="DefaultParagraphFont"/>
    <w:link w:val="FootnoteText"/>
    <w:uiPriority w:val="99"/>
    <w:semiHidden/>
    <w:rsid w:val="00AD09C1"/>
    <w:rPr>
      <w:lang w:eastAsia="ja-JP"/>
    </w:rPr>
  </w:style>
  <w:style w:type="character" w:styleId="FootnoteReference">
    <w:name w:val="footnote reference"/>
    <w:basedOn w:val="DefaultParagraphFont"/>
    <w:uiPriority w:val="99"/>
    <w:semiHidden/>
    <w:unhideWhenUsed/>
    <w:rsid w:val="00AD09C1"/>
    <w:rPr>
      <w:vertAlign w:val="superscript"/>
    </w:rPr>
  </w:style>
  <w:style w:type="character" w:styleId="CommentReference">
    <w:name w:val="annotation reference"/>
    <w:basedOn w:val="DefaultParagraphFont"/>
    <w:uiPriority w:val="99"/>
    <w:semiHidden/>
    <w:unhideWhenUsed/>
    <w:rsid w:val="008C71D5"/>
    <w:rPr>
      <w:sz w:val="16"/>
      <w:szCs w:val="16"/>
    </w:rPr>
  </w:style>
  <w:style w:type="paragraph" w:styleId="CommentText">
    <w:name w:val="annotation text"/>
    <w:basedOn w:val="Normal"/>
    <w:link w:val="CommentTextChar"/>
    <w:uiPriority w:val="99"/>
    <w:semiHidden/>
    <w:unhideWhenUsed/>
    <w:rsid w:val="008C71D5"/>
    <w:rPr>
      <w:sz w:val="20"/>
      <w:szCs w:val="20"/>
    </w:rPr>
  </w:style>
  <w:style w:type="character" w:customStyle="1" w:styleId="CommentTextChar">
    <w:name w:val="Comment Text Char"/>
    <w:basedOn w:val="DefaultParagraphFont"/>
    <w:link w:val="CommentText"/>
    <w:uiPriority w:val="99"/>
    <w:semiHidden/>
    <w:rsid w:val="008C71D5"/>
    <w:rPr>
      <w:lang w:eastAsia="ja-JP"/>
    </w:rPr>
  </w:style>
  <w:style w:type="paragraph" w:styleId="CommentSubject">
    <w:name w:val="annotation subject"/>
    <w:basedOn w:val="CommentText"/>
    <w:next w:val="CommentText"/>
    <w:link w:val="CommentSubjectChar"/>
    <w:uiPriority w:val="99"/>
    <w:semiHidden/>
    <w:unhideWhenUsed/>
    <w:rsid w:val="008C71D5"/>
    <w:rPr>
      <w:b/>
      <w:bCs/>
    </w:rPr>
  </w:style>
  <w:style w:type="character" w:customStyle="1" w:styleId="CommentSubjectChar">
    <w:name w:val="Comment Subject Char"/>
    <w:basedOn w:val="CommentTextChar"/>
    <w:link w:val="CommentSubject"/>
    <w:uiPriority w:val="99"/>
    <w:semiHidden/>
    <w:rsid w:val="008C71D5"/>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9340">
      <w:bodyDiv w:val="1"/>
      <w:marLeft w:val="0"/>
      <w:marRight w:val="0"/>
      <w:marTop w:val="0"/>
      <w:marBottom w:val="0"/>
      <w:divBdr>
        <w:top w:val="none" w:sz="0" w:space="0" w:color="auto"/>
        <w:left w:val="none" w:sz="0" w:space="0" w:color="auto"/>
        <w:bottom w:val="none" w:sz="0" w:space="0" w:color="auto"/>
        <w:right w:val="none" w:sz="0" w:space="0" w:color="auto"/>
      </w:divBdr>
    </w:div>
    <w:div w:id="432556067">
      <w:bodyDiv w:val="1"/>
      <w:marLeft w:val="0"/>
      <w:marRight w:val="0"/>
      <w:marTop w:val="0"/>
      <w:marBottom w:val="0"/>
      <w:divBdr>
        <w:top w:val="none" w:sz="0" w:space="0" w:color="auto"/>
        <w:left w:val="none" w:sz="0" w:space="0" w:color="auto"/>
        <w:bottom w:val="none" w:sz="0" w:space="0" w:color="auto"/>
        <w:right w:val="none" w:sz="0" w:space="0" w:color="auto"/>
      </w:divBdr>
    </w:div>
    <w:div w:id="613171899">
      <w:bodyDiv w:val="1"/>
      <w:marLeft w:val="0"/>
      <w:marRight w:val="0"/>
      <w:marTop w:val="0"/>
      <w:marBottom w:val="0"/>
      <w:divBdr>
        <w:top w:val="none" w:sz="0" w:space="0" w:color="auto"/>
        <w:left w:val="none" w:sz="0" w:space="0" w:color="auto"/>
        <w:bottom w:val="none" w:sz="0" w:space="0" w:color="auto"/>
        <w:right w:val="none" w:sz="0" w:space="0" w:color="auto"/>
      </w:divBdr>
    </w:div>
    <w:div w:id="649866863">
      <w:bodyDiv w:val="1"/>
      <w:marLeft w:val="0"/>
      <w:marRight w:val="0"/>
      <w:marTop w:val="0"/>
      <w:marBottom w:val="0"/>
      <w:divBdr>
        <w:top w:val="none" w:sz="0" w:space="0" w:color="auto"/>
        <w:left w:val="none" w:sz="0" w:space="0" w:color="auto"/>
        <w:bottom w:val="none" w:sz="0" w:space="0" w:color="auto"/>
        <w:right w:val="none" w:sz="0" w:space="0" w:color="auto"/>
      </w:divBdr>
    </w:div>
    <w:div w:id="787284073">
      <w:bodyDiv w:val="1"/>
      <w:marLeft w:val="0"/>
      <w:marRight w:val="0"/>
      <w:marTop w:val="0"/>
      <w:marBottom w:val="0"/>
      <w:divBdr>
        <w:top w:val="none" w:sz="0" w:space="0" w:color="auto"/>
        <w:left w:val="none" w:sz="0" w:space="0" w:color="auto"/>
        <w:bottom w:val="none" w:sz="0" w:space="0" w:color="auto"/>
        <w:right w:val="none" w:sz="0" w:space="0" w:color="auto"/>
      </w:divBdr>
    </w:div>
    <w:div w:id="808086191">
      <w:bodyDiv w:val="1"/>
      <w:marLeft w:val="0"/>
      <w:marRight w:val="0"/>
      <w:marTop w:val="0"/>
      <w:marBottom w:val="0"/>
      <w:divBdr>
        <w:top w:val="none" w:sz="0" w:space="0" w:color="auto"/>
        <w:left w:val="none" w:sz="0" w:space="0" w:color="auto"/>
        <w:bottom w:val="none" w:sz="0" w:space="0" w:color="auto"/>
        <w:right w:val="none" w:sz="0" w:space="0" w:color="auto"/>
      </w:divBdr>
    </w:div>
    <w:div w:id="965354446">
      <w:bodyDiv w:val="1"/>
      <w:marLeft w:val="0"/>
      <w:marRight w:val="0"/>
      <w:marTop w:val="0"/>
      <w:marBottom w:val="0"/>
      <w:divBdr>
        <w:top w:val="none" w:sz="0" w:space="0" w:color="auto"/>
        <w:left w:val="none" w:sz="0" w:space="0" w:color="auto"/>
        <w:bottom w:val="none" w:sz="0" w:space="0" w:color="auto"/>
        <w:right w:val="none" w:sz="0" w:space="0" w:color="auto"/>
      </w:divBdr>
    </w:div>
    <w:div w:id="997270240">
      <w:bodyDiv w:val="1"/>
      <w:marLeft w:val="0"/>
      <w:marRight w:val="0"/>
      <w:marTop w:val="0"/>
      <w:marBottom w:val="0"/>
      <w:divBdr>
        <w:top w:val="none" w:sz="0" w:space="0" w:color="auto"/>
        <w:left w:val="none" w:sz="0" w:space="0" w:color="auto"/>
        <w:bottom w:val="none" w:sz="0" w:space="0" w:color="auto"/>
        <w:right w:val="none" w:sz="0" w:space="0" w:color="auto"/>
      </w:divBdr>
    </w:div>
    <w:div w:id="1208490431">
      <w:bodyDiv w:val="1"/>
      <w:marLeft w:val="0"/>
      <w:marRight w:val="0"/>
      <w:marTop w:val="0"/>
      <w:marBottom w:val="0"/>
      <w:divBdr>
        <w:top w:val="none" w:sz="0" w:space="0" w:color="auto"/>
        <w:left w:val="none" w:sz="0" w:space="0" w:color="auto"/>
        <w:bottom w:val="none" w:sz="0" w:space="0" w:color="auto"/>
        <w:right w:val="none" w:sz="0" w:space="0" w:color="auto"/>
      </w:divBdr>
    </w:div>
    <w:div w:id="1429472055">
      <w:bodyDiv w:val="1"/>
      <w:marLeft w:val="0"/>
      <w:marRight w:val="0"/>
      <w:marTop w:val="0"/>
      <w:marBottom w:val="0"/>
      <w:divBdr>
        <w:top w:val="none" w:sz="0" w:space="0" w:color="auto"/>
        <w:left w:val="none" w:sz="0" w:space="0" w:color="auto"/>
        <w:bottom w:val="none" w:sz="0" w:space="0" w:color="auto"/>
        <w:right w:val="none" w:sz="0" w:space="0" w:color="auto"/>
      </w:divBdr>
    </w:div>
    <w:div w:id="1470706124">
      <w:bodyDiv w:val="1"/>
      <w:marLeft w:val="0"/>
      <w:marRight w:val="0"/>
      <w:marTop w:val="0"/>
      <w:marBottom w:val="0"/>
      <w:divBdr>
        <w:top w:val="none" w:sz="0" w:space="0" w:color="auto"/>
        <w:left w:val="none" w:sz="0" w:space="0" w:color="auto"/>
        <w:bottom w:val="none" w:sz="0" w:space="0" w:color="auto"/>
        <w:right w:val="none" w:sz="0" w:space="0" w:color="auto"/>
      </w:divBdr>
    </w:div>
    <w:div w:id="1571502525">
      <w:bodyDiv w:val="1"/>
      <w:marLeft w:val="0"/>
      <w:marRight w:val="0"/>
      <w:marTop w:val="0"/>
      <w:marBottom w:val="0"/>
      <w:divBdr>
        <w:top w:val="none" w:sz="0" w:space="0" w:color="auto"/>
        <w:left w:val="none" w:sz="0" w:space="0" w:color="auto"/>
        <w:bottom w:val="none" w:sz="0" w:space="0" w:color="auto"/>
        <w:right w:val="none" w:sz="0" w:space="0" w:color="auto"/>
      </w:divBdr>
    </w:div>
    <w:div w:id="1627662456">
      <w:bodyDiv w:val="1"/>
      <w:marLeft w:val="0"/>
      <w:marRight w:val="0"/>
      <w:marTop w:val="0"/>
      <w:marBottom w:val="0"/>
      <w:divBdr>
        <w:top w:val="none" w:sz="0" w:space="0" w:color="auto"/>
        <w:left w:val="none" w:sz="0" w:space="0" w:color="auto"/>
        <w:bottom w:val="none" w:sz="0" w:space="0" w:color="auto"/>
        <w:right w:val="none" w:sz="0" w:space="0" w:color="auto"/>
      </w:divBdr>
    </w:div>
    <w:div w:id="1722174770">
      <w:bodyDiv w:val="1"/>
      <w:marLeft w:val="0"/>
      <w:marRight w:val="0"/>
      <w:marTop w:val="0"/>
      <w:marBottom w:val="0"/>
      <w:divBdr>
        <w:top w:val="none" w:sz="0" w:space="0" w:color="auto"/>
        <w:left w:val="none" w:sz="0" w:space="0" w:color="auto"/>
        <w:bottom w:val="none" w:sz="0" w:space="0" w:color="auto"/>
        <w:right w:val="none" w:sz="0" w:space="0" w:color="auto"/>
      </w:divBdr>
    </w:div>
    <w:div w:id="1898392961">
      <w:bodyDiv w:val="1"/>
      <w:marLeft w:val="0"/>
      <w:marRight w:val="0"/>
      <w:marTop w:val="0"/>
      <w:marBottom w:val="0"/>
      <w:divBdr>
        <w:top w:val="none" w:sz="0" w:space="0" w:color="auto"/>
        <w:left w:val="none" w:sz="0" w:space="0" w:color="auto"/>
        <w:bottom w:val="none" w:sz="0" w:space="0" w:color="auto"/>
        <w:right w:val="none" w:sz="0" w:space="0" w:color="auto"/>
      </w:divBdr>
    </w:div>
    <w:div w:id="2030638874">
      <w:bodyDiv w:val="1"/>
      <w:marLeft w:val="0"/>
      <w:marRight w:val="0"/>
      <w:marTop w:val="0"/>
      <w:marBottom w:val="0"/>
      <w:divBdr>
        <w:top w:val="none" w:sz="0" w:space="0" w:color="auto"/>
        <w:left w:val="none" w:sz="0" w:space="0" w:color="auto"/>
        <w:bottom w:val="none" w:sz="0" w:space="0" w:color="auto"/>
        <w:right w:val="none" w:sz="0" w:space="0" w:color="auto"/>
      </w:divBdr>
    </w:div>
    <w:div w:id="2057583990">
      <w:bodyDiv w:val="1"/>
      <w:marLeft w:val="0"/>
      <w:marRight w:val="0"/>
      <w:marTop w:val="0"/>
      <w:marBottom w:val="0"/>
      <w:divBdr>
        <w:top w:val="none" w:sz="0" w:space="0" w:color="auto"/>
        <w:left w:val="none" w:sz="0" w:space="0" w:color="auto"/>
        <w:bottom w:val="none" w:sz="0" w:space="0" w:color="auto"/>
        <w:right w:val="none" w:sz="0" w:space="0" w:color="auto"/>
      </w:divBdr>
    </w:div>
    <w:div w:id="209029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s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4581D2C1-9A55-48E3-B7F7-360460023CCD"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4581D2C1-9A55-48E3-B7F7-360460023CC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FEFC88368C64A8A0C2561E2944DB3" ma:contentTypeVersion="13" ma:contentTypeDescription="Create a new document." ma:contentTypeScope="" ma:versionID="35a5a77cfd0ca69e8dfd00d1dfe43b89">
  <xsd:schema xmlns:xsd="http://www.w3.org/2001/XMLSchema" xmlns:xs="http://www.w3.org/2001/XMLSchema" xmlns:p="http://schemas.microsoft.com/office/2006/metadata/properties" xmlns:ns3="a82bbab4-acb7-4407-acb4-ea5d7f3c8548" xmlns:ns4="28e9ace6-202b-4347-93b1-91f7a21672f5" targetNamespace="http://schemas.microsoft.com/office/2006/metadata/properties" ma:root="true" ma:fieldsID="580321f48dc1316402ba1b32b027e338" ns3:_="" ns4:_="">
    <xsd:import namespace="a82bbab4-acb7-4407-acb4-ea5d7f3c8548"/>
    <xsd:import namespace="28e9ace6-202b-4347-93b1-91f7a21672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bbab4-acb7-4407-acb4-ea5d7f3c85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9ace6-202b-4347-93b1-91f7a21672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C2D38-FF5E-4A44-8170-13AE89DB4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bbab4-acb7-4407-acb4-ea5d7f3c8548"/>
    <ds:schemaRef ds:uri="28e9ace6-202b-4347-93b1-91f7a216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507F0-DE3A-4987-8B69-14177BF740EC}">
  <ds:schemaRefs>
    <ds:schemaRef ds:uri="http://schemas.microsoft.com/sharepoint/v3/contenttype/forms"/>
  </ds:schemaRefs>
</ds:datastoreItem>
</file>

<file path=customXml/itemProps3.xml><?xml version="1.0" encoding="utf-8"?>
<ds:datastoreItem xmlns:ds="http://schemas.openxmlformats.org/officeDocument/2006/customXml" ds:itemID="{EDB4E608-C603-4A0D-BED9-6A23313EFC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34A64A-F32A-C448-9882-29A06597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1240</Words>
  <Characters>6660</Characters>
  <Application>Microsoft Office Word</Application>
  <DocSecurity>0</DocSecurity>
  <Lines>151</Lines>
  <Paragraphs>83</Paragraphs>
  <ScaleCrop>false</ScaleCrop>
  <HeadingPairs>
    <vt:vector size="2" baseType="variant">
      <vt:variant>
        <vt:lpstr>Title</vt:lpstr>
      </vt:variant>
      <vt:variant>
        <vt:i4>1</vt:i4>
      </vt:variant>
    </vt:vector>
  </HeadingPairs>
  <TitlesOfParts>
    <vt:vector size="1" baseType="lpstr">
      <vt:lpstr>Press Release</vt:lpstr>
    </vt:vector>
  </TitlesOfParts>
  <Company>GlaxoSmithKline</Company>
  <LinksUpToDate>false</LinksUpToDate>
  <CharactersWithSpaces>7817</CharactersWithSpaces>
  <SharedDoc>false</SharedDoc>
  <HLinks>
    <vt:vector size="6" baseType="variant">
      <vt:variant>
        <vt:i4>2687074</vt:i4>
      </vt:variant>
      <vt:variant>
        <vt:i4>0</vt:i4>
      </vt:variant>
      <vt:variant>
        <vt:i4>0</vt:i4>
      </vt:variant>
      <vt:variant>
        <vt:i4>5</vt:i4>
      </vt:variant>
      <vt:variant>
        <vt:lpwstr>http://www.gsk.com/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ag676266</dc:creator>
  <cp:lastModifiedBy>Lori Weiman</cp:lastModifiedBy>
  <cp:revision>2</cp:revision>
  <cp:lastPrinted>2019-10-25T15:24:00Z</cp:lastPrinted>
  <dcterms:created xsi:type="dcterms:W3CDTF">2019-10-28T17:01:00Z</dcterms:created>
  <dcterms:modified xsi:type="dcterms:W3CDTF">2019-10-28T17:01:00Z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aledMedia_Window">
    <vt:lpwstr>SEAL394760</vt:lpwstr>
  </property>
  <property fmtid="{D5CDD505-2E9C-101B-9397-08002B2CF9AE}" pid="3" name="SealedMedia_Context">
    <vt:lpwstr>pre-release financial results</vt:lpwstr>
  </property>
  <property fmtid="{D5CDD505-2E9C-101B-9397-08002B2CF9AE}" pid="4" name="SealedMedia_SealedBy">
    <vt:lpwstr>david.k.allison-beer@gsk.com</vt:lpwstr>
  </property>
  <property fmtid="{D5CDD505-2E9C-101B-9397-08002B2CF9AE}" pid="5" name="SealedMedia_Publisher">
    <vt:lpwstr>pre-release financial results</vt:lpwstr>
  </property>
  <property fmtid="{D5CDD505-2E9C-101B-9397-08002B2CF9AE}" pid="6" name="SealedMedia_ContentSet">
    <vt:lpwstr>default</vt:lpwstr>
  </property>
  <property fmtid="{D5CDD505-2E9C-101B-9397-08002B2CF9AE}" pid="7" name="SealedMedia_SealTime">
    <vt:lpwstr>2008-07-17 18:57:27</vt:lpwstr>
  </property>
  <property fmtid="{D5CDD505-2E9C-101B-9397-08002B2CF9AE}" pid="8" name="SealedMedia_PublicationTime">
    <vt:lpwstr>2008-07-17 18:57:27</vt:lpwstr>
  </property>
  <property fmtid="{D5CDD505-2E9C-101B-9397-08002B2CF9AE}" pid="9" name="SealedMedia_ItemCode">
    <vt:lpwstr>2008_07_17 18:57:27 Q2  Narrative July 17 2008 with format.sdoc</vt:lpwstr>
  </property>
  <property fmtid="{D5CDD505-2E9C-101B-9397-08002B2CF9AE}" pid="10" name="SealedMedia_LicenseServerName">
    <vt:lpwstr>GSK SealedMedia Server</vt:lpwstr>
  </property>
  <property fmtid="{D5CDD505-2E9C-101B-9397-08002B2CF9AE}" pid="11" name="SealedMedia_smvn">
    <vt:lpwstr>default</vt:lpwstr>
  </property>
  <property fmtid="{D5CDD505-2E9C-101B-9397-08002B2CF9AE}" pid="12" name="SealedMedia_Category">
    <vt:lpwstr>Default</vt:lpwstr>
  </property>
  <property fmtid="{D5CDD505-2E9C-101B-9397-08002B2CF9AE}" pid="13" name="SealedMedia_ClientIP">
    <vt:lpwstr>199.28.116.153</vt:lpwstr>
  </property>
  <property fmtid="{D5CDD505-2E9C-101B-9397-08002B2CF9AE}" pid="14" name="SealedMedia_HostName">
    <vt:lpwstr>BREWL07D50650</vt:lpwstr>
  </property>
  <property fmtid="{D5CDD505-2E9C-101B-9397-08002B2CF9AE}" pid="15" name="SealedMedia_ClientVersion">
    <vt:lpwstr>5.1.5.0.release</vt:lpwstr>
  </property>
  <property fmtid="{D5CDD505-2E9C-101B-9397-08002B2CF9AE}" pid="16" name="SealedMedia_Language">
    <vt:lpwstr>EN</vt:lpwstr>
  </property>
  <property fmtid="{D5CDD505-2E9C-101B-9397-08002B2CF9AE}" pid="17" name="SealedMedia_Brand">
    <vt:lpwstr>0</vt:lpwstr>
  </property>
  <property fmtid="{D5CDD505-2E9C-101B-9397-08002B2CF9AE}" pid="18" name="SealedMedia_Product">
    <vt:lpwstr>EnterpriseDesktop</vt:lpwstr>
  </property>
  <property fmtid="{D5CDD505-2E9C-101B-9397-08002B2CF9AE}" pid="19" name="SealedMedia_Manufacturer">
    <vt:lpwstr>SealedMedia Inc.</vt:lpwstr>
  </property>
  <property fmtid="{D5CDD505-2E9C-101B-9397-08002B2CF9AE}" pid="20" name="SealedMedia_Location">
    <vt:lpwstr>file:///C|/Documents and Settings/pct44716/Local Settings/Temp/notes582382/~6994209.sdoc</vt:lpwstr>
  </property>
  <property fmtid="{D5CDD505-2E9C-101B-9397-08002B2CF9AE}" pid="21" name="SealedMedia_User">
    <vt:lpwstr>philip.c.thomson@gsk.com</vt:lpwstr>
  </property>
  <property fmtid="{D5CDD505-2E9C-101B-9397-08002B2CF9AE}" pid="22" name="SealedMedia_DefaultURL">
    <vt:lpwstr>http://securedoc.gsk.com/status/default.asp?cntxt=none&amp;status=none&amp;clntver=5.1.5&amp;user=philip.c.thomson%40gsk.com&amp;lang=EN&amp;cat=Default&amp;cs=default&amp;item=2008_07_17%2018:57:27%20Q2%20%20Narrative%20July%2017%202008%20with%20format.sdoc&amp;mime=application/vnd.sea</vt:lpwstr>
  </property>
  <property fmtid="{D5CDD505-2E9C-101B-9397-08002B2CF9AE}" pid="23" name="SealedMedia_MimeType">
    <vt:lpwstr>application/vnd.sealed.doc</vt:lpwstr>
  </property>
  <property fmtid="{D5CDD505-2E9C-101B-9397-08002B2CF9AE}" pid="24" name="SealedMedia_PrimaryServerURL">
    <vt:lpwstr>seal://sdoclic.gsk.com:80</vt:lpwstr>
  </property>
  <property fmtid="{D5CDD505-2E9C-101B-9397-08002B2CF9AE}" pid="25" name="SealedMedia_ContentVersion">
    <vt:lpwstr>5.0.0</vt:lpwstr>
  </property>
  <property fmtid="{D5CDD505-2E9C-101B-9397-08002B2CF9AE}" pid="26" name="SealedMedia_Time">
    <vt:lpwstr>2008-07-18 14:22:28</vt:lpwstr>
  </property>
  <property fmtid="{D5CDD505-2E9C-101B-9397-08002B2CF9AE}" pid="27" name="SealedMedia_FileName">
    <vt:lpwstr>~6994209.sdoc</vt:lpwstr>
  </property>
  <property fmtid="{D5CDD505-2E9C-101B-9397-08002B2CF9AE}" pid="28" name="SealedMedia_FilePath">
    <vt:lpwstr>C:\Documents and Settings\pct44716\Local Settings\Temp\notes582382\</vt:lpwstr>
  </property>
  <property fmtid="{D5CDD505-2E9C-101B-9397-08002B2CF9AE}" pid="29" name="SealedMedia_ViewType">
    <vt:i4>3</vt:i4>
  </property>
  <property fmtid="{D5CDD505-2E9C-101B-9397-08002B2CF9AE}" pid="30" name="ContentTypeId">
    <vt:lpwstr>0x010100939FEFC88368C64A8A0C2561E2944DB3</vt:lpwstr>
  </property>
</Properties>
</file>