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BFE78" w14:textId="609E3E7F" w:rsidR="00A44FF0" w:rsidRPr="00A44FF0" w:rsidRDefault="00A44FF0" w:rsidP="00A44FF0">
      <w:pPr>
        <w:jc w:val="center"/>
        <w:rPr>
          <w:b/>
          <w:bCs/>
        </w:rPr>
      </w:pPr>
      <w:bookmarkStart w:id="0" w:name="_GoBack"/>
      <w:bookmarkEnd w:id="0"/>
    </w:p>
    <w:p w14:paraId="6816B7C6" w14:textId="54AD59E9" w:rsidR="00A44FF0" w:rsidRPr="00FF34B0" w:rsidRDefault="00141070">
      <w:pPr>
        <w:rPr>
          <w:sz w:val="22"/>
          <w:szCs w:val="22"/>
          <w:u w:val="single"/>
        </w:rPr>
      </w:pPr>
      <w:r w:rsidRPr="00FF34B0">
        <w:rPr>
          <w:sz w:val="22"/>
          <w:szCs w:val="22"/>
          <w:u w:val="single"/>
        </w:rPr>
        <w:t>The Highlights</w:t>
      </w:r>
    </w:p>
    <w:p w14:paraId="6047BF7C" w14:textId="398295D0" w:rsidR="00B17B69" w:rsidRPr="00FF34B0" w:rsidRDefault="00D6769E" w:rsidP="00A44FF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>In a</w:t>
      </w:r>
      <w:r w:rsidR="00A44FF0"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Phase 2b study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A44FF0"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GSK’s </w:t>
      </w:r>
      <w:r w:rsidR="00A44FF0" w:rsidRPr="00FF34B0">
        <w:rPr>
          <w:rFonts w:asciiTheme="minorHAnsi" w:hAnsiTheme="minorHAnsi" w:cstheme="minorHAnsi"/>
          <w:sz w:val="22"/>
          <w:szCs w:val="22"/>
          <w:lang w:val="en-US"/>
        </w:rPr>
        <w:t>vaccine candidate M72/AS01</w:t>
      </w:r>
      <w:r w:rsidR="00A44FF0" w:rsidRPr="00FF34B0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E</w:t>
      </w:r>
      <w:r w:rsidR="00A44FF0"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>demonstrated a sustained level of protection against active tuberculosis</w:t>
      </w:r>
      <w:r w:rsidR="00B17B69" w:rsidRPr="00FF34B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26DC5393" w14:textId="0C717598" w:rsidR="00141070" w:rsidRPr="00FF34B0" w:rsidRDefault="00B17B69" w:rsidP="0014107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eastAsia="Times New Roman" w:hAnsiTheme="minorHAnsi" w:cstheme="minorHAnsi"/>
          <w:sz w:val="22"/>
          <w:szCs w:val="22"/>
        </w:rPr>
        <w:t xml:space="preserve">The final results were published on October 29, 2019 in the </w:t>
      </w:r>
      <w:r w:rsidRPr="00881919">
        <w:rPr>
          <w:rFonts w:asciiTheme="minorHAnsi" w:eastAsia="Times New Roman" w:hAnsiTheme="minorHAnsi" w:cstheme="minorHAnsi"/>
          <w:i/>
          <w:sz w:val="22"/>
          <w:szCs w:val="22"/>
        </w:rPr>
        <w:t>New England Journal of Medicine</w:t>
      </w:r>
      <w:r w:rsidRPr="00FF34B0">
        <w:rPr>
          <w:rFonts w:asciiTheme="minorHAnsi" w:eastAsia="Times New Roman" w:hAnsiTheme="minorHAnsi" w:cstheme="minorHAnsi"/>
          <w:sz w:val="22"/>
          <w:szCs w:val="22"/>
        </w:rPr>
        <w:t xml:space="preserve"> and presented at the </w:t>
      </w:r>
      <w:proofErr w:type="spellStart"/>
      <w:r w:rsidRPr="00FF34B0">
        <w:rPr>
          <w:rFonts w:asciiTheme="minorHAnsi" w:eastAsia="Times New Roman" w:hAnsiTheme="minorHAnsi" w:cstheme="minorHAnsi"/>
          <w:sz w:val="22"/>
          <w:szCs w:val="22"/>
        </w:rPr>
        <w:t>TBScience</w:t>
      </w:r>
      <w:proofErr w:type="spellEnd"/>
      <w:r w:rsidRPr="00FF34B0">
        <w:rPr>
          <w:rFonts w:asciiTheme="minorHAnsi" w:eastAsia="Times New Roman" w:hAnsiTheme="minorHAnsi" w:cstheme="minorHAnsi"/>
          <w:sz w:val="22"/>
          <w:szCs w:val="22"/>
        </w:rPr>
        <w:t xml:space="preserve"> Day as part of the 50</w:t>
      </w:r>
      <w:r w:rsidRPr="00FF34B0">
        <w:rPr>
          <w:rFonts w:asciiTheme="minorHAnsi" w:eastAsia="Times New Roman" w:hAnsiTheme="minorHAnsi" w:cstheme="minorHAnsi"/>
          <w:sz w:val="22"/>
          <w:szCs w:val="22"/>
          <w:vertAlign w:val="superscript"/>
        </w:rPr>
        <w:t>th</w:t>
      </w:r>
      <w:r w:rsidRPr="00FF34B0">
        <w:rPr>
          <w:rFonts w:asciiTheme="minorHAnsi" w:eastAsia="Times New Roman" w:hAnsiTheme="minorHAnsi" w:cstheme="minorHAnsi"/>
          <w:sz w:val="22"/>
          <w:szCs w:val="22"/>
        </w:rPr>
        <w:t xml:space="preserve"> Union World Conference on Lung Health in </w:t>
      </w:r>
      <w:r w:rsidRPr="00FF34B0">
        <w:rPr>
          <w:rFonts w:asciiTheme="minorHAnsi" w:hAnsiTheme="minorHAnsi" w:cstheme="minorHAnsi"/>
          <w:sz w:val="22"/>
          <w:szCs w:val="22"/>
        </w:rPr>
        <w:t>Hyderabad, India.</w:t>
      </w:r>
    </w:p>
    <w:p w14:paraId="007182D2" w14:textId="581DC358" w:rsidR="00141070" w:rsidRPr="00FF34B0" w:rsidRDefault="00141070" w:rsidP="00141070">
      <w:pPr>
        <w:rPr>
          <w:rFonts w:cstheme="minorHAnsi"/>
          <w:sz w:val="22"/>
          <w:szCs w:val="22"/>
        </w:rPr>
      </w:pPr>
    </w:p>
    <w:p w14:paraId="08DBFDCF" w14:textId="79582624" w:rsidR="00141070" w:rsidRPr="00FF34B0" w:rsidRDefault="00141070" w:rsidP="00141070">
      <w:pPr>
        <w:rPr>
          <w:rFonts w:cstheme="minorHAnsi"/>
          <w:sz w:val="22"/>
          <w:szCs w:val="22"/>
          <w:u w:val="single"/>
        </w:rPr>
      </w:pPr>
      <w:r w:rsidRPr="00FF34B0">
        <w:rPr>
          <w:rFonts w:cstheme="minorHAnsi"/>
          <w:sz w:val="22"/>
          <w:szCs w:val="22"/>
          <w:u w:val="single"/>
        </w:rPr>
        <w:t>The Details</w:t>
      </w:r>
    </w:p>
    <w:p w14:paraId="05CF9DFC" w14:textId="33D1B5FD" w:rsidR="00A44FF0" w:rsidRPr="00FF34B0" w:rsidRDefault="00141070" w:rsidP="00A44FF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>The f</w:t>
      </w:r>
      <w:r w:rsidR="00A44FF0" w:rsidRPr="00FF34B0">
        <w:rPr>
          <w:rFonts w:asciiTheme="minorHAnsi" w:hAnsiTheme="minorHAnsi" w:cstheme="minorHAnsi"/>
          <w:sz w:val="22"/>
          <w:szCs w:val="22"/>
          <w:lang w:val="en-US"/>
        </w:rPr>
        <w:t>inal results showed that the candidate vaccine contributed to preventing TB in those participants vaccinated with M72/AS01</w:t>
      </w:r>
      <w:r w:rsidR="00A44FF0" w:rsidRPr="00FF34B0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E</w:t>
      </w:r>
      <w:r w:rsidR="00A44FF0"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in the trial.</w:t>
      </w:r>
    </w:p>
    <w:p w14:paraId="1C474D02" w14:textId="61F1598A" w:rsidR="00A44FF0" w:rsidRPr="00FF34B0" w:rsidRDefault="00A44FF0" w:rsidP="00A44FF0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>Of the 39 positive cases of active pulmonary TB disease confirmed in the trial, 13 were in the M72/AS01</w:t>
      </w:r>
      <w:r w:rsidRPr="00FF34B0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E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group compared with 26 in the placebo group. This represents a vaccine efficacy of 50%</w:t>
      </w:r>
      <w:r w:rsidR="009E66A6" w:rsidRPr="00FF34B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304FB66" w14:textId="31C7C771" w:rsidR="009E66A6" w:rsidRPr="00FF34B0" w:rsidRDefault="009E66A6" w:rsidP="00A44FF0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>M72/AS01</w:t>
      </w:r>
      <w:r w:rsidRPr="00FF34B0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 xml:space="preserve">E 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>demonstrated an acceptable safety profile during the trial.</w:t>
      </w:r>
    </w:p>
    <w:p w14:paraId="6BA98E6F" w14:textId="11B329C6" w:rsidR="0065333C" w:rsidRPr="00FF34B0" w:rsidRDefault="0065333C" w:rsidP="0065333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>The objective of the study was to assess whether M72/AS01</w:t>
      </w:r>
      <w:r w:rsidRPr="00FF34B0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E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could prevent a significant number of TB disease cases in HIV-negative adults with latent TB infection compared to placebo, and whether the vaccine ha</w:t>
      </w:r>
      <w:r w:rsidR="008C67F9" w:rsidRPr="00FF34B0">
        <w:rPr>
          <w:rFonts w:asciiTheme="minorHAnsi" w:hAnsiTheme="minorHAnsi" w:cstheme="minorHAnsi"/>
          <w:sz w:val="22"/>
          <w:szCs w:val="22"/>
          <w:lang w:val="en-US"/>
        </w:rPr>
        <w:t>d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an acceptable safety and tolerability profile.</w:t>
      </w:r>
    </w:p>
    <w:p w14:paraId="76620616" w14:textId="74406285" w:rsidR="00A44FF0" w:rsidRPr="00FF34B0" w:rsidRDefault="00A44FF0" w:rsidP="00A44FF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8C67F9"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he study 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>was a GSK-sponsored Phase 2b randomized, double-blind; placebo-controlled study conducted at 11 sites in Kenya, South Africa, and Zambia, in tuberculosis (TB) endemic regions.</w:t>
      </w:r>
    </w:p>
    <w:p w14:paraId="3ECCB4ED" w14:textId="58746B23" w:rsidR="009E66A6" w:rsidRPr="00FF34B0" w:rsidRDefault="009E66A6" w:rsidP="00A44FF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>The study was conducted in partnership with GSK and IAVI.</w:t>
      </w:r>
    </w:p>
    <w:p w14:paraId="29907B52" w14:textId="68055319" w:rsidR="00A44FF0" w:rsidRPr="00FF34B0" w:rsidRDefault="00A44FF0" w:rsidP="00A44FF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>M72/AS01</w:t>
      </w:r>
      <w:r w:rsidRPr="00FF34B0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E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is comprised of a GSK-owned antigen and adjuvant.</w:t>
      </w:r>
    </w:p>
    <w:p w14:paraId="3DEF5C3C" w14:textId="5CA5964C" w:rsidR="00A44FF0" w:rsidRPr="00FF34B0" w:rsidRDefault="00A44FF0" w:rsidP="00A44FF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>Th</w:t>
      </w:r>
      <w:r w:rsidR="008C67F9" w:rsidRPr="00FF34B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final analysis was conducted after 36 months of follow-up.</w:t>
      </w:r>
    </w:p>
    <w:p w14:paraId="3CA1C820" w14:textId="5ADD4F5C" w:rsidR="0065333C" w:rsidRPr="00FF34B0" w:rsidRDefault="0065333C" w:rsidP="00A44FF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A primary analysis was conducted after 24 months of follow-up and published in the </w:t>
      </w:r>
      <w:r w:rsidRPr="00881919">
        <w:rPr>
          <w:rFonts w:asciiTheme="minorHAnsi" w:hAnsiTheme="minorHAnsi" w:cstheme="minorHAnsi"/>
          <w:i/>
          <w:sz w:val="22"/>
          <w:szCs w:val="22"/>
          <w:lang w:val="en-US"/>
        </w:rPr>
        <w:t xml:space="preserve">New England Journal </w:t>
      </w:r>
      <w:r w:rsidR="008C67F9" w:rsidRPr="00881919">
        <w:rPr>
          <w:rFonts w:asciiTheme="minorHAnsi" w:hAnsiTheme="minorHAnsi" w:cstheme="minorHAnsi"/>
          <w:i/>
          <w:sz w:val="22"/>
          <w:szCs w:val="22"/>
          <w:lang w:val="en-US"/>
        </w:rPr>
        <w:t>of Medicine</w:t>
      </w:r>
      <w:r w:rsidR="008C67F9"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>in September 2018.</w:t>
      </w:r>
    </w:p>
    <w:p w14:paraId="71F3E99C" w14:textId="714BF8EF" w:rsidR="00141070" w:rsidRPr="00FF34B0" w:rsidRDefault="00141070" w:rsidP="00141070">
      <w:pPr>
        <w:pStyle w:val="ListParagraph"/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494654A3" w14:textId="77777777" w:rsidR="00B10598" w:rsidRPr="00FF34B0" w:rsidRDefault="00B10598" w:rsidP="00B10598">
      <w:pPr>
        <w:rPr>
          <w:rFonts w:cstheme="minorHAnsi"/>
          <w:sz w:val="22"/>
          <w:szCs w:val="22"/>
          <w:u w:val="single"/>
        </w:rPr>
      </w:pPr>
      <w:r w:rsidRPr="00FF34B0">
        <w:rPr>
          <w:rFonts w:cstheme="minorHAnsi"/>
          <w:sz w:val="22"/>
          <w:szCs w:val="22"/>
          <w:u w:val="single"/>
        </w:rPr>
        <w:t>The Impact</w:t>
      </w:r>
    </w:p>
    <w:p w14:paraId="0A99CC7C" w14:textId="386682BF" w:rsidR="00B10598" w:rsidRPr="00FF34B0" w:rsidRDefault="00B10598" w:rsidP="00B10598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eastAsia="Times New Roman" w:hAnsiTheme="minorHAnsi" w:cstheme="minorHAnsi"/>
          <w:sz w:val="22"/>
          <w:szCs w:val="22"/>
        </w:rPr>
        <w:t xml:space="preserve">These results </w:t>
      </w:r>
      <w:r w:rsidRPr="00FF34B0">
        <w:rPr>
          <w:rFonts w:eastAsia="Times New Roman" w:cstheme="minorHAnsi"/>
          <w:sz w:val="22"/>
          <w:szCs w:val="22"/>
        </w:rPr>
        <w:t>demonstrate that for the first time in almost a century, the global community potentially has a new tool to help provide protection against TB.</w:t>
      </w:r>
    </w:p>
    <w:p w14:paraId="22B23567" w14:textId="4FB299AD" w:rsidR="00A44FF0" w:rsidRPr="00FF34B0" w:rsidRDefault="00A44FF0" w:rsidP="00A44FF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The development of this candidate vaccine is an example </w:t>
      </w:r>
      <w:r w:rsidR="00141070" w:rsidRPr="00FF34B0">
        <w:rPr>
          <w:rFonts w:asciiTheme="minorHAnsi" w:hAnsiTheme="minorHAnsi" w:cstheme="minorHAnsi"/>
          <w:sz w:val="22"/>
          <w:szCs w:val="22"/>
          <w:lang w:val="en-US"/>
        </w:rPr>
        <w:t>of the importance of partnerships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41070"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between organizations and funders 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>commi</w:t>
      </w:r>
      <w:r w:rsidR="00141070"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tted 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to using </w:t>
      </w:r>
      <w:r w:rsidR="00141070" w:rsidRPr="00FF34B0">
        <w:rPr>
          <w:rFonts w:asciiTheme="minorHAnsi" w:hAnsiTheme="minorHAnsi" w:cstheme="minorHAnsi"/>
          <w:sz w:val="22"/>
          <w:szCs w:val="22"/>
          <w:lang w:val="en-US"/>
        </w:rPr>
        <w:t>their complementary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scientific expertise and technology to </w:t>
      </w:r>
      <w:r w:rsidR="00141070" w:rsidRPr="00FF34B0">
        <w:rPr>
          <w:rFonts w:asciiTheme="minorHAnsi" w:hAnsiTheme="minorHAnsi" w:cstheme="minorHAnsi"/>
          <w:sz w:val="22"/>
          <w:szCs w:val="22"/>
          <w:lang w:val="en-US"/>
        </w:rPr>
        <w:t>advance</w:t>
      </w:r>
      <w:r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the fight against diseases that impact</w:t>
      </w:r>
      <w:r w:rsidR="00141070" w:rsidRPr="00FF34B0">
        <w:rPr>
          <w:rFonts w:asciiTheme="minorHAnsi" w:hAnsiTheme="minorHAnsi" w:cstheme="minorHAnsi"/>
          <w:sz w:val="22"/>
          <w:szCs w:val="22"/>
          <w:lang w:val="en-US"/>
        </w:rPr>
        <w:t xml:space="preserve"> global health.</w:t>
      </w:r>
    </w:p>
    <w:p w14:paraId="11BE55D8" w14:textId="74067062" w:rsidR="00B10598" w:rsidRPr="00FF34B0" w:rsidRDefault="00B10598" w:rsidP="00B10598">
      <w:pPr>
        <w:rPr>
          <w:rFonts w:cstheme="minorHAnsi"/>
          <w:sz w:val="22"/>
          <w:szCs w:val="22"/>
        </w:rPr>
      </w:pPr>
    </w:p>
    <w:p w14:paraId="361252D8" w14:textId="42958DE2" w:rsidR="00B10598" w:rsidRPr="00FF34B0" w:rsidRDefault="00B10598" w:rsidP="00B10598">
      <w:pPr>
        <w:rPr>
          <w:rFonts w:cstheme="minorHAnsi"/>
          <w:sz w:val="22"/>
          <w:szCs w:val="22"/>
          <w:u w:val="single"/>
        </w:rPr>
      </w:pPr>
      <w:r w:rsidRPr="00FF34B0">
        <w:rPr>
          <w:rFonts w:cstheme="minorHAnsi"/>
          <w:sz w:val="22"/>
          <w:szCs w:val="22"/>
          <w:u w:val="single"/>
        </w:rPr>
        <w:t>The Future</w:t>
      </w:r>
    </w:p>
    <w:p w14:paraId="112B5CCF" w14:textId="3DF5ED20" w:rsidR="00B10598" w:rsidRPr="00FF34B0" w:rsidRDefault="00B10598" w:rsidP="00613BCF">
      <w:pPr>
        <w:pStyle w:val="ListParagraph"/>
        <w:numPr>
          <w:ilvl w:val="0"/>
          <w:numId w:val="2"/>
        </w:numPr>
        <w:tabs>
          <w:tab w:val="left" w:pos="4118"/>
        </w:tabs>
        <w:rPr>
          <w:rFonts w:eastAsia="Times New Roman" w:cstheme="minorHAnsi"/>
          <w:iCs/>
          <w:sz w:val="22"/>
          <w:szCs w:val="22"/>
        </w:rPr>
      </w:pPr>
      <w:r w:rsidRPr="00FF34B0">
        <w:rPr>
          <w:rFonts w:eastAsia="Times New Roman" w:cstheme="minorHAnsi"/>
          <w:iCs/>
          <w:sz w:val="22"/>
          <w:szCs w:val="22"/>
        </w:rPr>
        <w:t xml:space="preserve">GSK is working </w:t>
      </w:r>
      <w:r w:rsidR="00613BCF" w:rsidRPr="00FF34B0">
        <w:rPr>
          <w:rFonts w:eastAsia="Times New Roman" w:cstheme="minorHAnsi"/>
          <w:iCs/>
          <w:sz w:val="22"/>
          <w:szCs w:val="22"/>
        </w:rPr>
        <w:t xml:space="preserve">with partners to build an end-to-end model to further develop the </w:t>
      </w:r>
      <w:r w:rsidR="00E572A3">
        <w:rPr>
          <w:rFonts w:eastAsia="Times New Roman" w:cstheme="minorHAnsi"/>
          <w:iCs/>
          <w:sz w:val="22"/>
          <w:szCs w:val="22"/>
        </w:rPr>
        <w:t xml:space="preserve">candidate </w:t>
      </w:r>
      <w:r w:rsidR="00613BCF" w:rsidRPr="00FF34B0">
        <w:rPr>
          <w:rFonts w:eastAsia="Times New Roman" w:cstheme="minorHAnsi"/>
          <w:iCs/>
          <w:sz w:val="22"/>
          <w:szCs w:val="22"/>
        </w:rPr>
        <w:t xml:space="preserve">vaccine and ensure it is progressed diligently. </w:t>
      </w:r>
    </w:p>
    <w:p w14:paraId="547BB282" w14:textId="1E5C937D" w:rsidR="00A44FF0" w:rsidRPr="00FF34B0" w:rsidRDefault="00B10598" w:rsidP="00FF34B0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2"/>
          <w:szCs w:val="22"/>
        </w:rPr>
      </w:pPr>
      <w:r w:rsidRPr="00FF34B0">
        <w:rPr>
          <w:sz w:val="22"/>
          <w:szCs w:val="22"/>
        </w:rPr>
        <w:t>IAVI remains committed</w:t>
      </w:r>
      <w:r w:rsidRPr="00FF34B0">
        <w:rPr>
          <w:rFonts w:eastAsia="Times New Roman"/>
          <w:color w:val="000000"/>
          <w:sz w:val="22"/>
          <w:szCs w:val="22"/>
        </w:rPr>
        <w:t xml:space="preserve"> to working in partnership with a number of global organizations to develop a robust pipeline of TB vaccine candidates that could help stop the urgent, global TB epidemic.</w:t>
      </w:r>
      <w:r w:rsidRPr="00FF34B0">
        <w:rPr>
          <w:rFonts w:eastAsia="Times New Roman" w:cstheme="minorHAnsi"/>
          <w:iCs/>
          <w:sz w:val="22"/>
          <w:szCs w:val="22"/>
        </w:rPr>
        <w:t xml:space="preserve">   </w:t>
      </w:r>
    </w:p>
    <w:sectPr w:rsidR="00A44FF0" w:rsidRPr="00FF34B0" w:rsidSect="00654F9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931B3" w14:textId="77777777" w:rsidR="005F0E9E" w:rsidRDefault="005F0E9E" w:rsidP="00FF34B0">
      <w:r>
        <w:separator/>
      </w:r>
    </w:p>
  </w:endnote>
  <w:endnote w:type="continuationSeparator" w:id="0">
    <w:p w14:paraId="2E0B2B65" w14:textId="77777777" w:rsidR="005F0E9E" w:rsidRDefault="005F0E9E" w:rsidP="00FF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817EA" w14:textId="77777777" w:rsidR="005F0E9E" w:rsidRDefault="005F0E9E" w:rsidP="00FF34B0">
      <w:r>
        <w:separator/>
      </w:r>
    </w:p>
  </w:footnote>
  <w:footnote w:type="continuationSeparator" w:id="0">
    <w:p w14:paraId="0D047A51" w14:textId="77777777" w:rsidR="005F0E9E" w:rsidRDefault="005F0E9E" w:rsidP="00FF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61A78" w14:textId="5CE61429" w:rsidR="00FF34B0" w:rsidRDefault="00FF34B0">
    <w:pPr>
      <w:pStyle w:val="Header"/>
    </w:pPr>
    <w:r>
      <w:tab/>
    </w:r>
    <w:r>
      <w:tab/>
    </w:r>
    <w:r>
      <w:rPr>
        <w:rFonts w:eastAsia="Times New Roman"/>
        <w:noProof/>
      </w:rPr>
      <w:drawing>
        <wp:inline distT="0" distB="0" distL="0" distR="0" wp14:anchorId="7A1F532F" wp14:editId="1EC7326E">
          <wp:extent cx="777600" cy="691200"/>
          <wp:effectExtent l="0" t="0" r="3810" b="0"/>
          <wp:docPr id="2" name="Picture 2" descr="cid:4581D2C1-9A55-48E3-B7F7-360460023C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EF69A8-8DE1-4031-ADE2-94D29F2261C4" descr="cid:4581D2C1-9A55-48E3-B7F7-360460023CC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418E74D" wp14:editId="3A6E42C0">
          <wp:extent cx="714375" cy="714375"/>
          <wp:effectExtent l="19050" t="0" r="9525" b="0"/>
          <wp:docPr id="5" name="Picture 2" descr="C:\Documents and Settings\spq39386\My Documents\GSK brand\New GSK logos for digital\gsk-logo-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pq39386\My Documents\GSK brand\New GSK logos for digital\gsk-logo-75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1D2C10" w14:textId="5E706218" w:rsidR="00FF34B0" w:rsidRPr="00FF34B0" w:rsidRDefault="00FF34B0" w:rsidP="00FF34B0">
    <w:pPr>
      <w:pStyle w:val="Header"/>
      <w:rPr>
        <w:b/>
        <w:bCs/>
        <w:i/>
        <w:iCs/>
        <w:color w:val="0070C0"/>
        <w:sz w:val="28"/>
        <w:szCs w:val="28"/>
      </w:rPr>
    </w:pPr>
    <w:r w:rsidRPr="00FF34B0">
      <w:rPr>
        <w:b/>
        <w:bCs/>
        <w:i/>
        <w:iCs/>
        <w:color w:val="0070C0"/>
        <w:sz w:val="28"/>
        <w:szCs w:val="28"/>
      </w:rPr>
      <w:t>Media Fact Sheet</w:t>
    </w:r>
  </w:p>
  <w:p w14:paraId="5E3E9D16" w14:textId="77777777" w:rsidR="00FF34B0" w:rsidRPr="00FF34B0" w:rsidRDefault="00FF34B0" w:rsidP="00FF34B0">
    <w:pPr>
      <w:rPr>
        <w:b/>
        <w:bCs/>
        <w:i/>
        <w:iCs/>
        <w:color w:val="0070C0"/>
        <w:sz w:val="28"/>
        <w:szCs w:val="28"/>
      </w:rPr>
    </w:pPr>
  </w:p>
  <w:p w14:paraId="6D4CEED8" w14:textId="2F580182" w:rsidR="00FF34B0" w:rsidRPr="00FF34B0" w:rsidRDefault="00FF34B0" w:rsidP="00FF34B0">
    <w:pPr>
      <w:rPr>
        <w:b/>
        <w:bCs/>
        <w:i/>
        <w:iCs/>
        <w:color w:val="0070C0"/>
        <w:sz w:val="28"/>
        <w:szCs w:val="28"/>
      </w:rPr>
    </w:pPr>
    <w:r w:rsidRPr="00FF34B0">
      <w:rPr>
        <w:b/>
        <w:bCs/>
        <w:i/>
        <w:iCs/>
        <w:color w:val="0070C0"/>
        <w:sz w:val="28"/>
        <w:szCs w:val="28"/>
      </w:rPr>
      <w:t>M72/AS01</w:t>
    </w:r>
    <w:r w:rsidRPr="00FF34B0">
      <w:rPr>
        <w:b/>
        <w:bCs/>
        <w:i/>
        <w:iCs/>
        <w:color w:val="0070C0"/>
        <w:sz w:val="28"/>
        <w:szCs w:val="28"/>
        <w:vertAlign w:val="subscript"/>
      </w:rPr>
      <w:t>E</w:t>
    </w:r>
    <w:r w:rsidRPr="00FF34B0">
      <w:rPr>
        <w:b/>
        <w:bCs/>
        <w:i/>
        <w:iCs/>
        <w:color w:val="0070C0"/>
        <w:sz w:val="28"/>
        <w:szCs w:val="28"/>
      </w:rPr>
      <w:t xml:space="preserve"> Phase 2b Clinical Study Final Results</w:t>
    </w:r>
  </w:p>
  <w:p w14:paraId="57AB9A57" w14:textId="6DDCF641" w:rsidR="00FF34B0" w:rsidRDefault="00FF34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01CF0" wp14:editId="37215A45">
              <wp:simplePos x="0" y="0"/>
              <wp:positionH relativeFrom="column">
                <wp:posOffset>-42730</wp:posOffset>
              </wp:positionH>
              <wp:positionV relativeFrom="paragraph">
                <wp:posOffset>150335</wp:posOffset>
              </wp:positionV>
              <wp:extent cx="6110243" cy="59820"/>
              <wp:effectExtent l="0" t="0" r="24130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0243" cy="598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A2ED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1.85pt" to="47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" strokecolor="#4472c4 [3204]" strokeweight=".5pt">
              <v:stroke joinstyle="miter"/>
            </v:line>
          </w:pict>
        </mc:Fallback>
      </mc:AlternateContent>
    </w:r>
  </w:p>
  <w:p w14:paraId="7E0A3A8B" w14:textId="77777777" w:rsidR="00FF34B0" w:rsidRDefault="00FF3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10851"/>
    <w:multiLevelType w:val="hybridMultilevel"/>
    <w:tmpl w:val="9D22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60E7B"/>
    <w:multiLevelType w:val="hybridMultilevel"/>
    <w:tmpl w:val="4D8A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F0"/>
    <w:rsid w:val="000F4CFB"/>
    <w:rsid w:val="00141070"/>
    <w:rsid w:val="00161DEF"/>
    <w:rsid w:val="00330C7C"/>
    <w:rsid w:val="005F0E9E"/>
    <w:rsid w:val="00613BCF"/>
    <w:rsid w:val="00630CB6"/>
    <w:rsid w:val="0065333C"/>
    <w:rsid w:val="00654F9C"/>
    <w:rsid w:val="00736212"/>
    <w:rsid w:val="00881919"/>
    <w:rsid w:val="008C67F9"/>
    <w:rsid w:val="009E66A6"/>
    <w:rsid w:val="00A33846"/>
    <w:rsid w:val="00A44FF0"/>
    <w:rsid w:val="00B10598"/>
    <w:rsid w:val="00B17B69"/>
    <w:rsid w:val="00CA7D81"/>
    <w:rsid w:val="00D6769E"/>
    <w:rsid w:val="00DE5240"/>
    <w:rsid w:val="00E572A3"/>
    <w:rsid w:val="00E701F0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04835"/>
  <w15:chartTrackingRefBased/>
  <w15:docId w15:val="{32C4B9E8-8348-FE4D-8364-28ABA2A7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F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F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Bullet List,FooterText,List Paragraph1,Colorful List Accent 1"/>
    <w:basedOn w:val="Normal"/>
    <w:link w:val="ListParagraphChar"/>
    <w:uiPriority w:val="34"/>
    <w:qFormat/>
    <w:rsid w:val="00A44FF0"/>
    <w:pPr>
      <w:ind w:left="720"/>
      <w:contextualSpacing/>
    </w:pPr>
    <w:rPr>
      <w:rFonts w:ascii="Calibri" w:hAnsi="Calibri"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4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FF0"/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FF0"/>
    <w:rPr>
      <w:rFonts w:ascii="Calibri" w:hAnsi="Calibri" w:cs="Calibri"/>
      <w:sz w:val="20"/>
      <w:szCs w:val="20"/>
      <w:lang w:val="en-GB"/>
    </w:rPr>
  </w:style>
  <w:style w:type="character" w:customStyle="1" w:styleId="ListParagraphChar">
    <w:name w:val="List Paragraph Char"/>
    <w:aliases w:val="Bullet List Char,FooterText Char,List Paragraph1 Char,Colorful List Accent 1 Char"/>
    <w:link w:val="ListParagraph"/>
    <w:uiPriority w:val="34"/>
    <w:locked/>
    <w:rsid w:val="00A44FF0"/>
    <w:rPr>
      <w:rFonts w:ascii="Calibri" w:hAnsi="Calibri" w:cs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CF"/>
    <w:rPr>
      <w:rFonts w:ascii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CF"/>
    <w:rPr>
      <w:rFonts w:ascii="Calibri" w:hAnsi="Calibri" w:cs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F3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4B0"/>
  </w:style>
  <w:style w:type="paragraph" w:styleId="Footer">
    <w:name w:val="footer"/>
    <w:basedOn w:val="Normal"/>
    <w:link w:val="FooterChar"/>
    <w:uiPriority w:val="99"/>
    <w:unhideWhenUsed/>
    <w:rsid w:val="00FF3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4581D2C1-9A55-48E3-B7F7-360460023CC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FEFC88368C64A8A0C2561E2944DB3" ma:contentTypeVersion="13" ma:contentTypeDescription="Create a new document." ma:contentTypeScope="" ma:versionID="35a5a77cfd0ca69e8dfd00d1dfe43b89">
  <xsd:schema xmlns:xsd="http://www.w3.org/2001/XMLSchema" xmlns:xs="http://www.w3.org/2001/XMLSchema" xmlns:p="http://schemas.microsoft.com/office/2006/metadata/properties" xmlns:ns3="a82bbab4-acb7-4407-acb4-ea5d7f3c8548" xmlns:ns4="28e9ace6-202b-4347-93b1-91f7a21672f5" targetNamespace="http://schemas.microsoft.com/office/2006/metadata/properties" ma:root="true" ma:fieldsID="580321f48dc1316402ba1b32b027e338" ns3:_="" ns4:_="">
    <xsd:import namespace="a82bbab4-acb7-4407-acb4-ea5d7f3c8548"/>
    <xsd:import namespace="28e9ace6-202b-4347-93b1-91f7a21672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bab4-acb7-4407-acb4-ea5d7f3c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9ace6-202b-4347-93b1-91f7a216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35AFA-5016-4573-979F-583C436AA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90EEA2-4C41-4730-8653-5E31D2C20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6326D-071F-4688-9496-EBE83935F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bab4-acb7-4407-acb4-ea5d7f3c8548"/>
    <ds:schemaRef ds:uri="28e9ace6-202b-4347-93b1-91f7a216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1950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Weiman</dc:creator>
  <cp:keywords/>
  <dc:description/>
  <cp:lastModifiedBy>Lori Weiman</cp:lastModifiedBy>
  <cp:revision>3</cp:revision>
  <dcterms:created xsi:type="dcterms:W3CDTF">2019-10-28T14:52:00Z</dcterms:created>
  <dcterms:modified xsi:type="dcterms:W3CDTF">2019-10-29T11:14:00Z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0x010100939FEFC88368C64A8A0C2561E2944DB3</vt:lpwstr>
  </property>
</Properties>
</file>